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C8AF33">
      <w:pPr>
        <w:pStyle w:val="134"/>
        <w:framePr w:wrap="around" w:hAnchor="page" w:x="1351" w:y="14071"/>
      </w:pPr>
      <w:bookmarkStart w:id="0" w:name="FY"/>
      <w:r>
        <w:rPr>
          <w:sz w:val="30"/>
          <w:szCs w:val="30"/>
        </w:rPr>
        <w:fldChar w:fldCharType="begin">
          <w:ffData>
            <w:name w:val="FY"/>
            <w:enabled/>
            <w:calcOnExit w:val="0"/>
            <w:textInput>
              <w:default w:val="XXXX"/>
              <w:maxLength w:val="4"/>
            </w:textInput>
          </w:ffData>
        </w:fldChar>
      </w:r>
      <w:r>
        <w:rPr>
          <w:sz w:val="30"/>
          <w:szCs w:val="30"/>
        </w:rPr>
        <w:instrText xml:space="preserve"> FORMTEXT </w:instrText>
      </w:r>
      <w:r>
        <w:rPr>
          <w:sz w:val="30"/>
          <w:szCs w:val="30"/>
        </w:rPr>
        <w:fldChar w:fldCharType="separate"/>
      </w:r>
      <w:r>
        <w:rPr>
          <w:sz w:val="30"/>
          <w:szCs w:val="30"/>
        </w:rPr>
        <w:t>XXXX</w:t>
      </w:r>
      <w:r>
        <w:rPr>
          <w:sz w:val="30"/>
          <w:szCs w:val="30"/>
        </w:rPr>
        <w:fldChar w:fldCharType="end"/>
      </w:r>
      <w:bookmarkEnd w:id="0"/>
      <w:r>
        <w:rPr>
          <w:sz w:val="30"/>
          <w:szCs w:val="30"/>
        </w:rPr>
        <w:t xml:space="preserve"> - </w:t>
      </w:r>
      <w:r>
        <w:rPr>
          <w:sz w:val="30"/>
          <w:szCs w:val="30"/>
        </w:rPr>
        <w:fldChar w:fldCharType="begin">
          <w:ffData>
            <w:name w:val="FM"/>
            <w:enabled/>
            <w:calcOnExit w:val="0"/>
            <w:textInput>
              <w:default w:val="XX"/>
              <w:maxLength w:val="2"/>
            </w:textInput>
          </w:ffData>
        </w:fldChar>
      </w:r>
      <w:r>
        <w:rPr>
          <w:sz w:val="30"/>
          <w:szCs w:val="30"/>
        </w:rPr>
        <w:instrText xml:space="preserve"> FORMTEXT </w:instrText>
      </w:r>
      <w:r>
        <w:rPr>
          <w:sz w:val="30"/>
          <w:szCs w:val="30"/>
        </w:rPr>
        <w:fldChar w:fldCharType="separate"/>
      </w:r>
      <w:r>
        <w:rPr>
          <w:sz w:val="30"/>
          <w:szCs w:val="30"/>
        </w:rPr>
        <w:t>XX</w:t>
      </w:r>
      <w:r>
        <w:rPr>
          <w:sz w:val="30"/>
          <w:szCs w:val="30"/>
        </w:rPr>
        <w:fldChar w:fldCharType="end"/>
      </w:r>
      <w:r>
        <w:rPr>
          <w:sz w:val="30"/>
          <w:szCs w:val="30"/>
        </w:rPr>
        <w:t xml:space="preserve"> - </w:t>
      </w:r>
      <w:bookmarkStart w:id="1" w:name="FD"/>
      <w:r>
        <w:rPr>
          <w:sz w:val="30"/>
          <w:szCs w:val="30"/>
        </w:rPr>
        <w:fldChar w:fldCharType="begin">
          <w:ffData>
            <w:name w:val="FD"/>
            <w:enabled/>
            <w:calcOnExit w:val="0"/>
            <w:textInput>
              <w:default w:val="XX"/>
              <w:maxLength w:val="2"/>
            </w:textInput>
          </w:ffData>
        </w:fldChar>
      </w:r>
      <w:r>
        <w:rPr>
          <w:sz w:val="30"/>
          <w:szCs w:val="30"/>
        </w:rPr>
        <w:instrText xml:space="preserve"> FORMTEXT </w:instrText>
      </w:r>
      <w:r>
        <w:rPr>
          <w:sz w:val="30"/>
          <w:szCs w:val="30"/>
        </w:rPr>
        <w:fldChar w:fldCharType="separate"/>
      </w:r>
      <w:r>
        <w:rPr>
          <w:sz w:val="30"/>
          <w:szCs w:val="30"/>
        </w:rPr>
        <w:t>XX</w:t>
      </w:r>
      <w:r>
        <w:rPr>
          <w:sz w:val="30"/>
          <w:szCs w:val="30"/>
        </w:rPr>
        <w:fldChar w:fldCharType="end"/>
      </w:r>
      <w:bookmarkEnd w:id="1"/>
      <w:r>
        <w:rPr>
          <w:sz w:val="30"/>
          <w:szCs w:val="30"/>
        </w:rPr>
        <w:t>发布</w:t>
      </w:r>
      <w:r>
        <mc:AlternateContent>
          <mc:Choice Requires="wps">
            <w:drawing>
              <wp:anchor distT="0" distB="0" distL="114300" distR="114300" simplePos="0" relativeHeight="251660288" behindDoc="0" locked="1" layoutInCell="1" allowOverlap="1">
                <wp:simplePos x="0" y="0"/>
                <wp:positionH relativeFrom="column">
                  <wp:posOffset>-635</wp:posOffset>
                </wp:positionH>
                <wp:positionV relativeFrom="page">
                  <wp:posOffset>9251950</wp:posOffset>
                </wp:positionV>
                <wp:extent cx="6120130" cy="0"/>
                <wp:effectExtent l="8890" t="12700" r="5080" b="6350"/>
                <wp:wrapNone/>
                <wp:docPr id="43" name="Line 10"/>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10" o:spid="_x0000_s1026" o:spt="20" style="position:absolute;left:0pt;margin-left:-0.05pt;margin-top:728.5pt;height:0pt;width:481.9pt;mso-position-vertical-relative:page;z-index:251660288;mso-width-relative:page;mso-height-relative:page;" filled="f" stroked="t" coordsize="21600,21600" o:gfxdata="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CWHazzWAAAACwEAAA8AAAAAAAAAAQAgAAAAIgAAAGRycy9k&#10;b3ducmV2LnhtbFBLAQIUABQAAAAIAIdO4kDewLGAywEAAKEDAAAOAAAAAAAAAAEAIAAAACUBAABk&#10;cnMvZTJvRG9jLnhtbFBLBQYAAAAABgAGAFkBAABiBQAAAAA=&#10;">
                <v:fill on="f" focussize="0,0"/>
                <v:stroke color="#000000" joinstyle="round"/>
                <v:imagedata o:title=""/>
                <o:lock v:ext="edit" aspectratio="f"/>
                <w10:anchorlock/>
              </v:line>
            </w:pict>
          </mc:Fallback>
        </mc:AlternateContent>
      </w:r>
    </w:p>
    <w:p w14:paraId="6DF612CA">
      <w:pPr>
        <w:pStyle w:val="135"/>
        <w:framePr w:wrap="around" w:hAnchor="page" w:x="6931" w:y="13981"/>
        <w:rPr>
          <w:sz w:val="30"/>
          <w:szCs w:val="30"/>
        </w:rPr>
      </w:pPr>
      <w:bookmarkStart w:id="2" w:name="SY"/>
      <w:r>
        <w:rPr>
          <w:sz w:val="30"/>
          <w:szCs w:val="30"/>
        </w:rPr>
        <w:fldChar w:fldCharType="begin">
          <w:ffData>
            <w:name w:val="SY"/>
            <w:enabled/>
            <w:calcOnExit w:val="0"/>
            <w:textInput>
              <w:default w:val="XXXX"/>
              <w:maxLength w:val="4"/>
            </w:textInput>
          </w:ffData>
        </w:fldChar>
      </w:r>
      <w:r>
        <w:rPr>
          <w:sz w:val="30"/>
          <w:szCs w:val="30"/>
        </w:rPr>
        <w:instrText xml:space="preserve"> FORMTEXT </w:instrText>
      </w:r>
      <w:r>
        <w:rPr>
          <w:sz w:val="30"/>
          <w:szCs w:val="30"/>
        </w:rPr>
        <w:fldChar w:fldCharType="separate"/>
      </w:r>
      <w:r>
        <w:rPr>
          <w:sz w:val="30"/>
          <w:szCs w:val="30"/>
        </w:rPr>
        <w:t>XXXX</w:t>
      </w:r>
      <w:r>
        <w:rPr>
          <w:sz w:val="30"/>
          <w:szCs w:val="30"/>
        </w:rPr>
        <w:fldChar w:fldCharType="end"/>
      </w:r>
      <w:bookmarkEnd w:id="2"/>
      <w:r>
        <w:rPr>
          <w:sz w:val="30"/>
          <w:szCs w:val="30"/>
        </w:rPr>
        <w:t xml:space="preserve"> - </w:t>
      </w:r>
      <w:bookmarkStart w:id="3" w:name="SM"/>
      <w:r>
        <w:rPr>
          <w:sz w:val="30"/>
          <w:szCs w:val="30"/>
        </w:rPr>
        <w:fldChar w:fldCharType="begin">
          <w:ffData>
            <w:name w:val="SM"/>
            <w:enabled/>
            <w:calcOnExit w:val="0"/>
            <w:textInput>
              <w:default w:val="XX"/>
              <w:maxLength w:val="2"/>
            </w:textInput>
          </w:ffData>
        </w:fldChar>
      </w:r>
      <w:r>
        <w:rPr>
          <w:sz w:val="30"/>
          <w:szCs w:val="30"/>
        </w:rPr>
        <w:instrText xml:space="preserve"> FORMTEXT </w:instrText>
      </w:r>
      <w:r>
        <w:rPr>
          <w:sz w:val="30"/>
          <w:szCs w:val="30"/>
        </w:rPr>
        <w:fldChar w:fldCharType="separate"/>
      </w:r>
      <w:r>
        <w:rPr>
          <w:sz w:val="30"/>
          <w:szCs w:val="30"/>
        </w:rPr>
        <w:t>XX</w:t>
      </w:r>
      <w:r>
        <w:rPr>
          <w:sz w:val="30"/>
          <w:szCs w:val="30"/>
        </w:rPr>
        <w:fldChar w:fldCharType="end"/>
      </w:r>
      <w:bookmarkEnd w:id="3"/>
      <w:r>
        <w:rPr>
          <w:sz w:val="30"/>
          <w:szCs w:val="30"/>
        </w:rPr>
        <w:t xml:space="preserve"> - </w:t>
      </w:r>
      <w:bookmarkStart w:id="4" w:name="SD"/>
      <w:r>
        <w:rPr>
          <w:sz w:val="30"/>
          <w:szCs w:val="30"/>
        </w:rPr>
        <w:fldChar w:fldCharType="begin">
          <w:ffData>
            <w:name w:val="SD"/>
            <w:enabled/>
            <w:calcOnExit w:val="0"/>
            <w:textInput>
              <w:default w:val="XX"/>
              <w:maxLength w:val="2"/>
            </w:textInput>
          </w:ffData>
        </w:fldChar>
      </w:r>
      <w:r>
        <w:rPr>
          <w:sz w:val="30"/>
          <w:szCs w:val="30"/>
        </w:rPr>
        <w:instrText xml:space="preserve"> FORMTEXT </w:instrText>
      </w:r>
      <w:r>
        <w:rPr>
          <w:sz w:val="30"/>
          <w:szCs w:val="30"/>
        </w:rPr>
        <w:fldChar w:fldCharType="separate"/>
      </w:r>
      <w:r>
        <w:rPr>
          <w:sz w:val="30"/>
          <w:szCs w:val="30"/>
        </w:rPr>
        <w:t>XX</w:t>
      </w:r>
      <w:r>
        <w:rPr>
          <w:sz w:val="30"/>
          <w:szCs w:val="30"/>
        </w:rPr>
        <w:fldChar w:fldCharType="end"/>
      </w:r>
      <w:bookmarkEnd w:id="4"/>
      <w:r>
        <w:rPr>
          <w:sz w:val="30"/>
          <w:szCs w:val="30"/>
        </w:rPr>
        <w:t>实施</w:t>
      </w:r>
    </w:p>
    <w:p w14:paraId="143BB25E">
      <w:pPr>
        <w:pStyle w:val="115"/>
        <w:framePr w:wrap="around"/>
        <w:rPr>
          <w:rFonts w:ascii="Times New Roman"/>
        </w:rPr>
      </w:pPr>
      <w:r>
        <w:rPr>
          <w:rFonts w:ascii="Times New Roman" w:eastAsiaTheme="majorEastAsia"/>
          <w:sz w:val="30"/>
          <w:szCs w:val="30"/>
        </w:rPr>
        <w:t xml:space="preserve">中国生物材料学会   </w:t>
      </w:r>
      <w:r>
        <w:rPr>
          <w:rStyle w:val="77"/>
          <w:rFonts w:ascii="Times New Roman"/>
          <w:sz w:val="30"/>
          <w:szCs w:val="30"/>
        </w:rPr>
        <w:t>发布</w:t>
      </w:r>
    </w:p>
    <w:p w14:paraId="513671AD">
      <w:pPr>
        <w:pStyle w:val="83"/>
        <w:framePr w:wrap="around"/>
        <w:spacing w:before="156" w:after="156" w:line="240" w:lineRule="auto"/>
        <w:rPr>
          <w:sz w:val="52"/>
          <w:szCs w:val="20"/>
        </w:rPr>
      </w:pPr>
      <w:bookmarkStart w:id="5" w:name="OLE_LINK23"/>
      <w:bookmarkStart w:id="6" w:name="YZBS"/>
      <w:r>
        <w:rPr>
          <w:sz w:val="52"/>
          <w:szCs w:val="20"/>
        </w:rPr>
        <w:t>可吸收丝素蛋白骨修复材料</w:t>
      </w:r>
    </w:p>
    <w:bookmarkEnd w:id="5"/>
    <w:bookmarkEnd w:id="6"/>
    <w:tbl>
      <w:tblPr>
        <w:tblStyle w:val="34"/>
        <w:tblW w:w="98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55"/>
      </w:tblGrid>
      <w:tr w14:paraId="6DB25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30B3D629">
            <w:pPr>
              <w:pStyle w:val="83"/>
              <w:framePr w:wrap="around"/>
              <w:spacing w:before="156" w:after="156"/>
              <w:rPr>
                <w:sz w:val="36"/>
                <w:szCs w:val="36"/>
              </w:rPr>
            </w:pPr>
            <w:r>
              <w:rPr>
                <w:sz w:val="36"/>
                <w:szCs w:val="36"/>
              </w:rPr>
              <w:t xml:space="preserve">Absorbable Silk </w:t>
            </w:r>
            <w:r>
              <w:rPr>
                <w:rFonts w:eastAsia="宋体"/>
                <w:sz w:val="36"/>
                <w:szCs w:val="36"/>
              </w:rPr>
              <w:t>Fibroin</w:t>
            </w:r>
            <w:r>
              <w:rPr>
                <w:sz w:val="36"/>
                <w:szCs w:val="36"/>
              </w:rPr>
              <w:t xml:space="preserve"> Bone Repair Material</w:t>
            </w:r>
          </w:p>
          <w:p w14:paraId="7E2BB457">
            <w:pPr>
              <w:pStyle w:val="83"/>
              <w:framePr w:wrap="around"/>
              <w:spacing w:before="156" w:after="156"/>
            </w:pPr>
            <w:r>
              <mc:AlternateContent>
                <mc:Choice Requires="wps">
                  <w:drawing>
                    <wp:anchor distT="0" distB="0" distL="114300" distR="114300" simplePos="0" relativeHeight="251661312" behindDoc="1" locked="1" layoutInCell="1" allowOverlap="1">
                      <wp:simplePos x="0" y="0"/>
                      <wp:positionH relativeFrom="column">
                        <wp:posOffset>2200910</wp:posOffset>
                      </wp:positionH>
                      <wp:positionV relativeFrom="paragraph">
                        <wp:posOffset>573405</wp:posOffset>
                      </wp:positionV>
                      <wp:extent cx="1905000" cy="254000"/>
                      <wp:effectExtent l="635" t="1905" r="0" b="1270"/>
                      <wp:wrapNone/>
                      <wp:docPr id="45" name="RQ"/>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RQ" o:spid="_x0000_s1026" o:spt="1" style="position:absolute;left:0pt;margin-left:173.3pt;margin-top:45.15pt;height:20pt;width:150pt;z-index:-251655168;mso-width-relative:page;mso-height-relative:page;" fillcolor="#FFFFFF" filled="t" stroked="f" coordsize="21600,21600" o:gfxdata="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BYmuktUAAAAKAQAADwAAAAAAAAABACAAAAAiAAAA&#10;ZHJzL2Rvd25yZXYueG1sUEsBAhQAFAAAAAgAh07iQOlIXzMKAgAAIQQAAA4AAAAAAAAAAQAgAAAA&#10;JAEAAGRycy9lMm9Eb2MueG1sUEsFBgAAAAAGAAYAWQEAAKAFAAAAAA==&#10;">
                      <v:fill on="t" focussize="0,0"/>
                      <v:stroke on="f"/>
                      <v:imagedata o:title=""/>
                      <o:lock v:ext="edit" aspectratio="f"/>
                      <w10:anchorlock/>
                    </v:rect>
                  </w:pict>
                </mc:Fallback>
              </mc:AlternateContent>
            </w:r>
            <w:r>
              <w:t>（征求意见稿）</w:t>
            </w:r>
          </w:p>
        </w:tc>
      </w:tr>
      <w:tr w14:paraId="66117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6DF834E0">
            <w:pPr>
              <w:pStyle w:val="86"/>
              <w:framePr w:wrap="around"/>
              <w:spacing w:before="312" w:after="312"/>
              <w:rPr>
                <w:rFonts w:ascii="Times New Roman"/>
              </w:rPr>
            </w:pPr>
          </w:p>
        </w:tc>
      </w:tr>
    </w:tbl>
    <w:tbl>
      <w:tblPr>
        <w:tblStyle w:val="35"/>
        <w:tblW w:w="98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36"/>
        <w:gridCol w:w="9319"/>
      </w:tblGrid>
      <w:tr w14:paraId="0ADD8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36" w:type="dxa"/>
          </w:tcPr>
          <w:p w14:paraId="46AA8295">
            <w:pPr>
              <w:pStyle w:val="19"/>
              <w:framePr w:wrap="notBeside" w:vAnchor="page" w:hAnchor="page" w:x="1372" w:y="568"/>
              <w:rPr>
                <w:rFonts w:ascii="宋体" w:eastAsiaTheme="minorEastAsia"/>
                <w:color w:val="000000" w:themeColor="text1"/>
                <w:sz w:val="21"/>
                <w:szCs w:val="21"/>
                <w14:textFill>
                  <w14:solidFill>
                    <w14:schemeClr w14:val="tx1"/>
                  </w14:solidFill>
                </w14:textFill>
              </w:rPr>
            </w:pPr>
            <w:r>
              <w:rPr>
                <w:rFonts w:ascii="宋体" w:eastAsiaTheme="minorEastAsia"/>
                <w:color w:val="000000" w:themeColor="text1"/>
                <w:sz w:val="21"/>
                <w:szCs w:val="21"/>
                <w14:textFill>
                  <w14:solidFill>
                    <w14:schemeClr w14:val="tx1"/>
                  </w14:solidFill>
                </w14:textFill>
              </w:rPr>
              <w:t>ICS</w:t>
            </w:r>
          </w:p>
        </w:tc>
        <w:tc>
          <w:tcPr>
            <w:tcW w:w="9319" w:type="dxa"/>
          </w:tcPr>
          <w:p w14:paraId="166063B3">
            <w:pPr>
              <w:pStyle w:val="19"/>
              <w:framePr w:wrap="notBeside" w:vAnchor="page" w:hAnchor="page" w:x="1372" w:y="568"/>
              <w:jc w:val="both"/>
              <w:rPr>
                <w:rFonts w:ascii="宋体" w:eastAsiaTheme="minorEastAsia"/>
                <w:color w:val="000000" w:themeColor="text1"/>
                <w:sz w:val="21"/>
                <w:szCs w:val="21"/>
                <w14:textFill>
                  <w14:solidFill>
                    <w14:schemeClr w14:val="tx1"/>
                  </w14:solidFill>
                </w14:textFill>
              </w:rPr>
            </w:pPr>
            <w:r>
              <w:rPr>
                <w:rFonts w:ascii="宋体" w:eastAsiaTheme="minorEastAsia"/>
                <w:color w:val="000000" w:themeColor="text1"/>
                <w:sz w:val="21"/>
                <w:szCs w:val="21"/>
                <w14:textFill>
                  <w14:solidFill>
                    <w14:schemeClr w14:val="tx1"/>
                  </w14:solidFill>
                </w14:textFill>
              </w:rPr>
              <w:t>11.040.40</w:t>
            </w:r>
          </w:p>
        </w:tc>
      </w:tr>
      <w:tr w14:paraId="700E0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36" w:type="dxa"/>
          </w:tcPr>
          <w:p w14:paraId="70A2B2D2">
            <w:pPr>
              <w:pStyle w:val="19"/>
              <w:framePr w:wrap="notBeside" w:vAnchor="page" w:hAnchor="page" w:x="1372" w:y="568"/>
              <w:spacing w:before="40"/>
              <w:rPr>
                <w:rFonts w:ascii="宋体" w:eastAsiaTheme="minorEastAsia"/>
                <w:color w:val="000000" w:themeColor="text1"/>
                <w:sz w:val="21"/>
                <w:szCs w:val="21"/>
                <w14:textFill>
                  <w14:solidFill>
                    <w14:schemeClr w14:val="tx1"/>
                  </w14:solidFill>
                </w14:textFill>
              </w:rPr>
            </w:pPr>
            <w:r>
              <w:rPr>
                <w:rFonts w:ascii="宋体" w:eastAsiaTheme="minorEastAsia"/>
                <w:color w:val="000000" w:themeColor="text1"/>
                <w:sz w:val="21"/>
                <w:szCs w:val="21"/>
                <w14:textFill>
                  <w14:solidFill>
                    <w14:schemeClr w14:val="tx1"/>
                  </w14:solidFill>
                </w14:textFill>
              </w:rPr>
              <w:t>CCS</w:t>
            </w:r>
          </w:p>
        </w:tc>
        <w:tc>
          <w:tcPr>
            <w:tcW w:w="9319" w:type="dxa"/>
          </w:tcPr>
          <w:p w14:paraId="2CB327E3">
            <w:pPr>
              <w:pStyle w:val="7"/>
              <w:framePr w:wrap="notBeside" w:vAnchor="page" w:hAnchor="page" w:x="1372" w:y="568"/>
              <w:rPr>
                <w:rFonts w:ascii="宋体" w:eastAsiaTheme="minorEastAsia"/>
                <w:color w:val="000000" w:themeColor="text1"/>
                <w:szCs w:val="21"/>
                <w14:textFill>
                  <w14:solidFill>
                    <w14:schemeClr w14:val="tx1"/>
                  </w14:solidFill>
                </w14:textFill>
              </w:rPr>
            </w:pPr>
            <w:r>
              <w:rPr>
                <w:rFonts w:ascii="宋体" w:eastAsiaTheme="minorEastAsia"/>
                <w:color w:val="000000" w:themeColor="text1"/>
                <w:szCs w:val="21"/>
                <w14:textFill>
                  <w14:solidFill>
                    <w14:schemeClr w14:val="tx1"/>
                  </w14:solidFill>
                </w14:textFill>
              </w:rPr>
              <w:t>C35</w:t>
            </w:r>
          </w:p>
        </w:tc>
      </w:tr>
    </w:tbl>
    <w:tbl>
      <w:tblPr>
        <w:tblStyle w:val="35"/>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661"/>
      </w:tblGrid>
      <w:tr w14:paraId="5A3650B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661" w:type="dxa"/>
          </w:tcPr>
          <w:p w14:paraId="64C44FCD">
            <w:pPr>
              <w:pStyle w:val="70"/>
              <w:framePr w:w="0" w:hRule="auto" w:hSpace="0" w:vSpace="0" w:wrap="auto" w:vAnchor="margin" w:hAnchor="text" w:xAlign="left" w:yAlign="inline"/>
              <w:rPr>
                <w:rFonts w:ascii="宋体"/>
                <w:color w:val="000000" w:themeColor="text1"/>
                <w:sz w:val="28"/>
                <w:szCs w:val="28"/>
                <w14:textFill>
                  <w14:solidFill>
                    <w14:schemeClr w14:val="tx1"/>
                  </w14:solidFill>
                </w14:textFill>
              </w:rPr>
            </w:pPr>
            <w:r>
              <w:rPr>
                <w:rFonts w:ascii="宋体"/>
                <w:color w:val="000000" w:themeColor="text1"/>
                <w14:textFill>
                  <w14:solidFill>
                    <w14:schemeClr w14:val="tx1"/>
                  </w14:solidFill>
                </w14:textFill>
              </w:rPr>
              <w:t>T/CSBM</w:t>
            </w:r>
          </w:p>
        </w:tc>
      </w:tr>
    </w:tbl>
    <w:p w14:paraId="70C2CC13">
      <w:pPr>
        <w:pStyle w:val="71"/>
        <w:framePr w:wrap="around" w:x="1305" w:y="2269"/>
        <w:rPr>
          <w:rFonts w:ascii="Times New Roman" w:eastAsia="黑体"/>
          <w:b w:val="0"/>
          <w:bCs w:val="0"/>
          <w:color w:val="000000" w:themeColor="text1"/>
          <w:w w:val="100"/>
          <w:szCs w:val="48"/>
          <w14:textFill>
            <w14:solidFill>
              <w14:schemeClr w14:val="tx1"/>
            </w14:solidFill>
          </w14:textFill>
        </w:rPr>
      </w:pPr>
      <w:r>
        <w:rPr>
          <w:rFonts w:ascii="Times New Roman" w:eastAsia="黑体"/>
          <w:b w:val="0"/>
          <w:bCs w:val="0"/>
          <w:color w:val="000000" w:themeColor="text1"/>
          <w:w w:val="100"/>
          <w:szCs w:val="48"/>
          <w14:textFill>
            <w14:solidFill>
              <w14:schemeClr w14:val="tx1"/>
            </w14:solidFill>
          </w14:textFill>
        </w:rPr>
        <w:t>团体标准</w:t>
      </w:r>
    </w:p>
    <w:p w14:paraId="7C1BE810">
      <w:pPr>
        <w:pStyle w:val="161"/>
        <w:frameP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T/CSBM xxxx—xxxx</w:t>
      </w:r>
    </w:p>
    <w:p w14:paraId="55A2B50F">
      <w:pPr>
        <w:pStyle w:val="162"/>
        <w:frameP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fldChar w:fldCharType="begin">
          <w:ffData>
            <w:name w:val="OSTD_CODE"/>
            <w:enabled/>
            <w:calcOnExit w:val="0"/>
            <w:textInput/>
          </w:ffData>
        </w:fldChar>
      </w:r>
      <w:bookmarkStart w:id="7" w:name="OSTD_CODE"/>
      <w:r>
        <w:rPr>
          <w:rFonts w:ascii="Times New Roman"/>
          <w:color w:val="000000" w:themeColor="text1"/>
          <w14:textFill>
            <w14:solidFill>
              <w14:schemeClr w14:val="tx1"/>
            </w14:solidFill>
          </w14:textFill>
        </w:rPr>
        <w:instrText xml:space="preserve"> FORMTEXT </w:instrText>
      </w:r>
      <w:r>
        <w:rPr>
          <w:rFonts w:ascii="Times New Roman"/>
          <w:color w:val="000000" w:themeColor="text1"/>
          <w14:textFill>
            <w14:solidFill>
              <w14:schemeClr w14:val="tx1"/>
            </w14:solidFill>
          </w14:textFill>
        </w:rPr>
        <w:fldChar w:fldCharType="separate"/>
      </w:r>
      <w:r>
        <w:rPr>
          <w:rFonts w:ascii="Times New Roman"/>
          <w:color w:val="000000" w:themeColor="text1"/>
          <w14:textFill>
            <w14:solidFill>
              <w14:schemeClr w14:val="tx1"/>
            </w14:solidFill>
          </w14:textFill>
        </w:rPr>
        <w:t>     </w:t>
      </w:r>
      <w:r>
        <w:rPr>
          <w:rFonts w:ascii="Times New Roman"/>
          <w:color w:val="000000" w:themeColor="text1"/>
          <w14:textFill>
            <w14:solidFill>
              <w14:schemeClr w14:val="tx1"/>
            </w14:solidFill>
          </w14:textFill>
        </w:rPr>
        <w:fldChar w:fldCharType="end"/>
      </w:r>
      <w:bookmarkEnd w:id="7"/>
    </w:p>
    <w:p w14:paraId="5E08D50B">
      <w:pPr>
        <w:pStyle w:val="24"/>
        <w:rPr>
          <w:rFonts w:ascii="Times New Roman"/>
        </w:rPr>
        <w:sectPr>
          <w:footerReference r:id="rId3" w:type="even"/>
          <w:pgSz w:w="11906" w:h="16838"/>
          <w:pgMar w:top="567" w:right="1134" w:bottom="1134" w:left="1417" w:header="0" w:footer="0" w:gutter="0"/>
          <w:pgNumType w:start="1"/>
          <w:cols w:space="425" w:num="1"/>
          <w:docGrid w:type="lines" w:linePitch="312" w:charSpace="0"/>
        </w:sectPr>
      </w:pPr>
      <w:r>
        <w:rPr>
          <w:rFonts w:ascii="Times New Roman"/>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2339975</wp:posOffset>
                </wp:positionV>
                <wp:extent cx="6120130" cy="0"/>
                <wp:effectExtent l="8890" t="6350" r="5080" b="12700"/>
                <wp:wrapNone/>
                <wp:docPr id="42" name="Line 11"/>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11" o:spid="_x0000_s1026" o:spt="20" style="position:absolute;left:0pt;margin-left:-0.05pt;margin-top:184.25pt;height:0pt;width:481.9pt;z-index:251659264;mso-width-relative:page;mso-height-relative:page;" filled="f" stroked="t" coordsize="21600,21600" o:gfxdata="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QkHiX9cAAAAJAQAADwAAAAAAAAABACAAAAAiAAAAZHJzL2Rv&#10;d25yZXYueG1sUEsBAhQAFAAAAAgAh07iQFi0IyfJAQAAoQMAAA4AAAAAAAAAAQAgAAAAJgEAAGRy&#10;cy9lMm9Eb2MueG1sUEsFBgAAAAAGAAYAWQEAAGEFAAAAAA==&#10;">
                <v:fill on="f" focussize="0,0"/>
                <v:stroke color="#000000" joinstyle="round"/>
                <v:imagedata o:title=""/>
                <o:lock v:ext="edit" aspectratio="f"/>
              </v:line>
            </w:pict>
          </mc:Fallback>
        </mc:AlternateContent>
      </w:r>
    </w:p>
    <w:p w14:paraId="13E1E39C">
      <w:pPr>
        <w:pStyle w:val="54"/>
        <w:rPr>
          <w:rFonts w:ascii="Times New Roman"/>
        </w:rPr>
      </w:pPr>
      <w:bookmarkStart w:id="8" w:name="_Toc338754584"/>
      <w:bookmarkStart w:id="9" w:name="_Toc340491278"/>
      <w:bookmarkStart w:id="10" w:name="_Toc343596936"/>
      <w:bookmarkStart w:id="11" w:name="_Toc342589523"/>
      <w:bookmarkStart w:id="12" w:name="_Toc354142627"/>
      <w:bookmarkStart w:id="13" w:name="_Toc338060690"/>
      <w:bookmarkStart w:id="14" w:name="_Toc354142462"/>
      <w:bookmarkStart w:id="15" w:name="_Toc338604798"/>
      <w:bookmarkStart w:id="16" w:name="_Toc338060633"/>
      <w:bookmarkStart w:id="17" w:name="_Toc342665737"/>
      <w:bookmarkStart w:id="18" w:name="_Toc398301037"/>
      <w:bookmarkStart w:id="19" w:name="_Toc358964227"/>
      <w:bookmarkStart w:id="20" w:name="_Toc374444820"/>
      <w:bookmarkStart w:id="21" w:name="_Toc338685857"/>
      <w:bookmarkStart w:id="22" w:name="_Toc354142267"/>
      <w:r>
        <w:rPr>
          <w:rFonts w:ascii="Times New Roman"/>
        </w:rPr>
        <w:t>目</w:t>
      </w:r>
      <w:bookmarkStart w:id="23" w:name="BKML"/>
      <w:r>
        <w:rPr>
          <w:rFonts w:ascii="Times New Roman"/>
        </w:rPr>
        <w:t>  次</w:t>
      </w:r>
      <w:bookmarkEnd w:id="23"/>
    </w:p>
    <w:p w14:paraId="3406E3C9">
      <w:pPr>
        <w:pStyle w:val="20"/>
        <w:spacing w:before="78" w:after="78"/>
        <w:rPr>
          <w:rFonts w:asciiTheme="minorHAnsi" w:hAnsiTheme="minorHAnsi" w:eastAsiaTheme="minorEastAsia" w:cstheme="minorBidi"/>
          <w:sz w:val="22"/>
          <w:szCs w:val="24"/>
          <w14:ligatures w14:val="standardContextual"/>
        </w:rPr>
      </w:pPr>
      <w:r>
        <w:rPr>
          <w:rFonts w:ascii="Times New Roman"/>
        </w:rPr>
        <w:fldChar w:fldCharType="begin"/>
      </w:r>
      <w:r>
        <w:rPr>
          <w:rFonts w:ascii="Times New Roman"/>
        </w:rPr>
        <w:instrText xml:space="preserve"> TOC \h \z \t "前言、引言标题,1,参考文献、索引标题,1,章标题,1,参考文献,1,附录标识,1" </w:instrText>
      </w:r>
      <w:r>
        <w:rPr>
          <w:rFonts w:ascii="Times New Roman"/>
        </w:rPr>
        <w:fldChar w:fldCharType="separate"/>
      </w:r>
      <w:r>
        <w:fldChar w:fldCharType="begin"/>
      </w:r>
      <w:r>
        <w:instrText xml:space="preserve"> HYPERLINK \l "_Toc237247727" </w:instrText>
      </w:r>
      <w:r>
        <w:fldChar w:fldCharType="separate"/>
      </w:r>
      <w:r>
        <w:fldChar w:fldCharType="end"/>
      </w:r>
    </w:p>
    <w:p w14:paraId="075D527E">
      <w:pPr>
        <w:pStyle w:val="20"/>
        <w:spacing w:before="78" w:after="78"/>
        <w:rPr>
          <w:rFonts w:asciiTheme="minorHAnsi" w:hAnsiTheme="minorHAnsi" w:eastAsiaTheme="minorEastAsia" w:cstheme="minorBidi"/>
          <w:sz w:val="22"/>
          <w:szCs w:val="24"/>
          <w14:ligatures w14:val="standardContextual"/>
        </w:rPr>
      </w:pPr>
      <w:r>
        <w:fldChar w:fldCharType="begin"/>
      </w:r>
      <w:r>
        <w:instrText xml:space="preserve"> HYPERLINK \l "_Toc237247728" </w:instrText>
      </w:r>
      <w:r>
        <w:fldChar w:fldCharType="separate"/>
      </w:r>
      <w:r>
        <w:rPr>
          <w:rStyle w:val="42"/>
        </w:rPr>
        <w:t>1</w:t>
      </w:r>
      <w:r>
        <w:rPr>
          <w:rStyle w:val="42"/>
          <w:rFonts w:ascii="Times New Roman"/>
        </w:rPr>
        <w:t xml:space="preserve"> 范围</w:t>
      </w:r>
      <w:r>
        <w:rPr>
          <w:rFonts w:hint="eastAsia"/>
        </w:rPr>
        <w:tab/>
      </w:r>
      <w:r>
        <w:rPr>
          <w:rFonts w:hint="eastAsia"/>
        </w:rPr>
        <w:fldChar w:fldCharType="begin"/>
      </w:r>
      <w:r>
        <w:rPr>
          <w:rFonts w:hint="eastAsia"/>
        </w:rPr>
        <w:instrText xml:space="preserve"> </w:instrText>
      </w:r>
      <w:r>
        <w:instrText xml:space="preserve">PAGEREF _Toc237247728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22324F4B">
      <w:pPr>
        <w:pStyle w:val="20"/>
        <w:spacing w:before="78" w:after="78"/>
        <w:rPr>
          <w:rFonts w:asciiTheme="minorHAnsi" w:hAnsiTheme="minorHAnsi" w:eastAsiaTheme="minorEastAsia" w:cstheme="minorBidi"/>
          <w:sz w:val="22"/>
          <w:szCs w:val="24"/>
          <w14:ligatures w14:val="standardContextual"/>
        </w:rPr>
      </w:pPr>
      <w:r>
        <w:fldChar w:fldCharType="begin"/>
      </w:r>
      <w:r>
        <w:instrText xml:space="preserve"> HYPERLINK \l "_Toc237247729" </w:instrText>
      </w:r>
      <w:r>
        <w:fldChar w:fldCharType="separate"/>
      </w:r>
      <w:r>
        <w:rPr>
          <w:rStyle w:val="42"/>
        </w:rPr>
        <w:t>2</w:t>
      </w:r>
      <w:r>
        <w:rPr>
          <w:rStyle w:val="42"/>
          <w:rFonts w:ascii="Times New Roman"/>
        </w:rPr>
        <w:t xml:space="preserve"> 规范性引用文件</w:t>
      </w:r>
      <w:r>
        <w:rPr>
          <w:rFonts w:hint="eastAsia"/>
        </w:rPr>
        <w:tab/>
      </w:r>
      <w:r>
        <w:rPr>
          <w:rFonts w:hint="eastAsia"/>
        </w:rPr>
        <w:fldChar w:fldCharType="begin"/>
      </w:r>
      <w:r>
        <w:rPr>
          <w:rFonts w:hint="eastAsia"/>
        </w:rPr>
        <w:instrText xml:space="preserve"> </w:instrText>
      </w:r>
      <w:r>
        <w:instrText xml:space="preserve">PAGEREF _Toc237247729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7F18A777">
      <w:pPr>
        <w:pStyle w:val="20"/>
        <w:spacing w:before="78" w:after="78"/>
        <w:rPr>
          <w:rFonts w:asciiTheme="minorHAnsi" w:hAnsiTheme="minorHAnsi" w:eastAsiaTheme="minorEastAsia" w:cstheme="minorBidi"/>
          <w:sz w:val="22"/>
          <w:szCs w:val="24"/>
          <w14:ligatures w14:val="standardContextual"/>
        </w:rPr>
      </w:pPr>
      <w:r>
        <w:fldChar w:fldCharType="begin"/>
      </w:r>
      <w:r>
        <w:instrText xml:space="preserve"> HYPERLINK \l "_Toc237247730" </w:instrText>
      </w:r>
      <w:r>
        <w:fldChar w:fldCharType="separate"/>
      </w:r>
      <w:r>
        <w:rPr>
          <w:rStyle w:val="42"/>
        </w:rPr>
        <w:t>3</w:t>
      </w:r>
      <w:r>
        <w:rPr>
          <w:rStyle w:val="42"/>
          <w:rFonts w:ascii="Times New Roman"/>
        </w:rPr>
        <w:t xml:space="preserve"> 术语和定义</w:t>
      </w:r>
      <w:r>
        <w:rPr>
          <w:rFonts w:hint="eastAsia"/>
        </w:rPr>
        <w:tab/>
      </w:r>
      <w:r>
        <w:rPr>
          <w:rFonts w:hint="eastAsia"/>
        </w:rPr>
        <w:fldChar w:fldCharType="begin"/>
      </w:r>
      <w:r>
        <w:rPr>
          <w:rFonts w:hint="eastAsia"/>
        </w:rPr>
        <w:instrText xml:space="preserve"> </w:instrText>
      </w:r>
      <w:r>
        <w:instrText xml:space="preserve">PAGEREF _Toc237247730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6FDD7B69">
      <w:pPr>
        <w:pStyle w:val="20"/>
        <w:spacing w:before="78" w:after="78"/>
        <w:rPr>
          <w:rFonts w:asciiTheme="minorHAnsi" w:hAnsiTheme="minorHAnsi" w:eastAsiaTheme="minorEastAsia" w:cstheme="minorBidi"/>
          <w:sz w:val="22"/>
          <w:szCs w:val="24"/>
          <w14:ligatures w14:val="standardContextual"/>
        </w:rPr>
      </w:pPr>
      <w:r>
        <w:fldChar w:fldCharType="begin"/>
      </w:r>
      <w:r>
        <w:instrText xml:space="preserve"> HYPERLINK \l "_Toc237247731" </w:instrText>
      </w:r>
      <w:r>
        <w:fldChar w:fldCharType="separate"/>
      </w:r>
      <w:r>
        <w:rPr>
          <w:rStyle w:val="42"/>
        </w:rPr>
        <w:t>4</w:t>
      </w:r>
      <w:r>
        <w:rPr>
          <w:rStyle w:val="42"/>
          <w:rFonts w:ascii="Times New Roman"/>
        </w:rPr>
        <w:t xml:space="preserve"> 要求</w:t>
      </w:r>
      <w:r>
        <w:rPr>
          <w:rFonts w:hint="eastAsia"/>
        </w:rPr>
        <w:tab/>
      </w:r>
      <w:r>
        <w:rPr>
          <w:rFonts w:hint="eastAsia"/>
        </w:rPr>
        <w:fldChar w:fldCharType="begin"/>
      </w:r>
      <w:r>
        <w:rPr>
          <w:rFonts w:hint="eastAsia"/>
        </w:rPr>
        <w:instrText xml:space="preserve"> </w:instrText>
      </w:r>
      <w:r>
        <w:instrText xml:space="preserve">PAGEREF _Toc237247731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1ED45CAA">
      <w:pPr>
        <w:pStyle w:val="20"/>
        <w:spacing w:before="78" w:after="78"/>
        <w:rPr>
          <w:rFonts w:asciiTheme="minorHAnsi" w:hAnsiTheme="minorHAnsi" w:eastAsiaTheme="minorEastAsia" w:cstheme="minorBidi"/>
          <w:sz w:val="22"/>
          <w:szCs w:val="24"/>
          <w14:ligatures w14:val="standardContextual"/>
        </w:rPr>
      </w:pPr>
      <w:r>
        <w:fldChar w:fldCharType="begin"/>
      </w:r>
      <w:r>
        <w:instrText xml:space="preserve"> HYPERLINK \l "_Toc237247732" </w:instrText>
      </w:r>
      <w:r>
        <w:fldChar w:fldCharType="separate"/>
      </w:r>
      <w:r>
        <w:rPr>
          <w:rStyle w:val="42"/>
        </w:rPr>
        <w:t>5</w:t>
      </w:r>
      <w:r>
        <w:rPr>
          <w:rStyle w:val="42"/>
          <w:rFonts w:ascii="Times New Roman"/>
        </w:rPr>
        <w:t xml:space="preserve"> 试验方法</w:t>
      </w:r>
      <w:r>
        <w:rPr>
          <w:rFonts w:hint="eastAsia"/>
        </w:rPr>
        <w:tab/>
      </w:r>
      <w:r>
        <w:rPr>
          <w:rFonts w:hint="eastAsia"/>
        </w:rPr>
        <w:fldChar w:fldCharType="begin"/>
      </w:r>
      <w:r>
        <w:rPr>
          <w:rFonts w:hint="eastAsia"/>
        </w:rPr>
        <w:instrText xml:space="preserve"> </w:instrText>
      </w:r>
      <w:r>
        <w:instrText xml:space="preserve">PAGEREF _Toc237247732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53F3A06D">
      <w:pPr>
        <w:pStyle w:val="20"/>
        <w:spacing w:before="78" w:after="78"/>
        <w:rPr>
          <w:rFonts w:asciiTheme="minorHAnsi" w:hAnsiTheme="minorHAnsi" w:eastAsiaTheme="minorEastAsia" w:cstheme="minorBidi"/>
          <w:sz w:val="22"/>
          <w:szCs w:val="24"/>
          <w14:ligatures w14:val="standardContextual"/>
        </w:rPr>
      </w:pPr>
      <w:r>
        <w:fldChar w:fldCharType="begin"/>
      </w:r>
      <w:r>
        <w:instrText xml:space="preserve"> HYPERLINK \l "_Toc237247733" </w:instrText>
      </w:r>
      <w:r>
        <w:fldChar w:fldCharType="separate"/>
      </w:r>
      <w:r>
        <w:rPr>
          <w:rStyle w:val="42"/>
        </w:rPr>
        <w:t>6</w:t>
      </w:r>
      <w:r>
        <w:rPr>
          <w:rStyle w:val="42"/>
          <w:rFonts w:ascii="Times New Roman"/>
        </w:rPr>
        <w:t xml:space="preserve"> 制造</w:t>
      </w:r>
      <w:r>
        <w:rPr>
          <w:rFonts w:hint="eastAsia"/>
        </w:rPr>
        <w:tab/>
      </w:r>
      <w:r>
        <w:rPr>
          <w:rFonts w:hint="eastAsia"/>
        </w:rPr>
        <w:fldChar w:fldCharType="begin"/>
      </w:r>
      <w:r>
        <w:rPr>
          <w:rFonts w:hint="eastAsia"/>
        </w:rPr>
        <w:instrText xml:space="preserve"> </w:instrText>
      </w:r>
      <w:r>
        <w:instrText xml:space="preserve">PAGEREF _Toc237247733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445E580E">
      <w:pPr>
        <w:pStyle w:val="20"/>
        <w:spacing w:before="78" w:after="78"/>
        <w:rPr>
          <w:rFonts w:asciiTheme="minorHAnsi" w:hAnsiTheme="minorHAnsi" w:eastAsiaTheme="minorEastAsia" w:cstheme="minorBidi"/>
          <w:sz w:val="22"/>
          <w:szCs w:val="24"/>
          <w14:ligatures w14:val="standardContextual"/>
        </w:rPr>
      </w:pPr>
      <w:r>
        <w:fldChar w:fldCharType="begin"/>
      </w:r>
      <w:r>
        <w:instrText xml:space="preserve"> HYPERLINK \l "_Toc237247734" </w:instrText>
      </w:r>
      <w:r>
        <w:fldChar w:fldCharType="separate"/>
      </w:r>
      <w:r>
        <w:rPr>
          <w:rStyle w:val="42"/>
        </w:rPr>
        <w:t>7</w:t>
      </w:r>
      <w:r>
        <w:rPr>
          <w:rStyle w:val="42"/>
          <w:rFonts w:ascii="Times New Roman"/>
        </w:rPr>
        <w:t xml:space="preserve"> 灭菌</w:t>
      </w:r>
      <w:r>
        <w:rPr>
          <w:rFonts w:hint="eastAsia"/>
        </w:rPr>
        <w:tab/>
      </w:r>
      <w:r>
        <w:rPr>
          <w:rFonts w:hint="eastAsia"/>
        </w:rPr>
        <w:fldChar w:fldCharType="begin"/>
      </w:r>
      <w:r>
        <w:rPr>
          <w:rFonts w:hint="eastAsia"/>
        </w:rPr>
        <w:instrText xml:space="preserve"> </w:instrText>
      </w:r>
      <w:r>
        <w:instrText xml:space="preserve">PAGEREF _Toc237247734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7264DE7C">
      <w:pPr>
        <w:pStyle w:val="20"/>
        <w:spacing w:before="78" w:after="78"/>
        <w:rPr>
          <w:rFonts w:asciiTheme="minorHAnsi" w:hAnsiTheme="minorHAnsi" w:eastAsiaTheme="minorEastAsia" w:cstheme="minorBidi"/>
          <w:sz w:val="22"/>
          <w:szCs w:val="24"/>
          <w14:ligatures w14:val="standardContextual"/>
        </w:rPr>
      </w:pPr>
      <w:r>
        <w:fldChar w:fldCharType="begin"/>
      </w:r>
      <w:r>
        <w:instrText xml:space="preserve"> HYPERLINK \l "_Toc237247735" </w:instrText>
      </w:r>
      <w:r>
        <w:fldChar w:fldCharType="separate"/>
      </w:r>
      <w:r>
        <w:rPr>
          <w:rStyle w:val="42"/>
        </w:rPr>
        <w:t>8</w:t>
      </w:r>
      <w:r>
        <w:rPr>
          <w:rStyle w:val="42"/>
          <w:rFonts w:ascii="Times New Roman"/>
        </w:rPr>
        <w:t xml:space="preserve"> 包装</w:t>
      </w:r>
      <w:r>
        <w:rPr>
          <w:rFonts w:hint="eastAsia"/>
        </w:rPr>
        <w:tab/>
      </w:r>
      <w:r>
        <w:rPr>
          <w:rFonts w:hint="eastAsia"/>
        </w:rPr>
        <w:fldChar w:fldCharType="begin"/>
      </w:r>
      <w:r>
        <w:rPr>
          <w:rFonts w:hint="eastAsia"/>
        </w:rPr>
        <w:instrText xml:space="preserve"> </w:instrText>
      </w:r>
      <w:r>
        <w:instrText xml:space="preserve">PAGEREF _Toc237247735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22B82D3D">
      <w:pPr>
        <w:pStyle w:val="20"/>
        <w:spacing w:before="78" w:after="78"/>
        <w:rPr>
          <w:rFonts w:asciiTheme="minorHAnsi" w:hAnsiTheme="minorHAnsi" w:eastAsiaTheme="minorEastAsia" w:cstheme="minorBidi"/>
          <w:sz w:val="22"/>
          <w:szCs w:val="24"/>
          <w14:ligatures w14:val="standardContextual"/>
        </w:rPr>
      </w:pPr>
      <w:r>
        <w:fldChar w:fldCharType="begin"/>
      </w:r>
      <w:r>
        <w:instrText xml:space="preserve"> HYPERLINK \l "_Toc237247736" </w:instrText>
      </w:r>
      <w:r>
        <w:fldChar w:fldCharType="separate"/>
      </w:r>
      <w:r>
        <w:rPr>
          <w:rStyle w:val="42"/>
        </w:rPr>
        <w:t>9</w:t>
      </w:r>
      <w:r>
        <w:rPr>
          <w:rStyle w:val="42"/>
          <w:rFonts w:ascii="Times New Roman"/>
        </w:rPr>
        <w:t xml:space="preserve"> 制造商提供的信息</w:t>
      </w:r>
      <w:r>
        <w:rPr>
          <w:rFonts w:hint="eastAsia"/>
        </w:rPr>
        <w:tab/>
      </w:r>
      <w:r>
        <w:rPr>
          <w:rFonts w:hint="eastAsia"/>
        </w:rPr>
        <w:fldChar w:fldCharType="begin"/>
      </w:r>
      <w:r>
        <w:rPr>
          <w:rFonts w:hint="eastAsia"/>
        </w:rPr>
        <w:instrText xml:space="preserve"> </w:instrText>
      </w:r>
      <w:r>
        <w:instrText xml:space="preserve">PAGEREF _Toc237247736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102F81D7">
      <w:pPr>
        <w:pStyle w:val="24"/>
        <w:rPr>
          <w:rFonts w:ascii="Times New Roman"/>
        </w:rPr>
      </w:pPr>
      <w:r>
        <w:rPr>
          <w:rFonts w:ascii="Times New Roman"/>
          <w:kern w:val="2"/>
          <w:szCs w:val="21"/>
        </w:rPr>
        <w:fldChar w:fldCharType="end"/>
      </w:r>
    </w:p>
    <w:p w14:paraId="0994D506">
      <w:pPr>
        <w:pStyle w:val="116"/>
        <w:tabs>
          <w:tab w:val="center" w:pos="4677"/>
        </w:tabs>
        <w:rPr>
          <w:rFonts w:ascii="Times New Roman"/>
        </w:rPr>
      </w:pPr>
      <w:bookmarkStart w:id="24" w:name="_Toc428177671"/>
      <w:bookmarkStart w:id="25" w:name="_Toc237247727"/>
      <w:r>
        <w:rPr>
          <w:rFonts w:ascii="Times New Roman"/>
        </w:rPr>
        <w:t>前</w:t>
      </w:r>
      <w:bookmarkStart w:id="26" w:name="BKQY"/>
      <w:r>
        <w:rPr>
          <w:rFonts w:ascii="Times New Roman"/>
        </w:rPr>
        <w:t>  言</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4"/>
      <w:bookmarkEnd w:id="25"/>
      <w:bookmarkEnd w:id="26"/>
    </w:p>
    <w:p w14:paraId="2DBCF856">
      <w:pPr>
        <w:pStyle w:val="31"/>
        <w:tabs>
          <w:tab w:val="center" w:pos="4201"/>
          <w:tab w:val="right" w:leader="dot" w:pos="9298"/>
        </w:tabs>
        <w:autoSpaceDE w:val="0"/>
        <w:autoSpaceDN w:val="0"/>
        <w:spacing w:before="0" w:beforeAutospacing="0" w:after="0" w:afterAutospacing="0" w:line="273" w:lineRule="auto"/>
        <w:ind w:firstLine="420" w:firstLineChars="200"/>
        <w:jc w:val="both"/>
        <w:rPr>
          <w:rFonts w:ascii="Times New Roman" w:hAnsi="Times New Roman" w:cs="Times New Roman"/>
          <w:sz w:val="21"/>
          <w:szCs w:val="21"/>
        </w:rPr>
      </w:pPr>
      <w:r>
        <w:rPr>
          <w:rFonts w:ascii="Times New Roman" w:hAnsi="Times New Roman" w:cs="Times New Roman"/>
          <w:sz w:val="21"/>
          <w:szCs w:val="21"/>
          <w:lang w:bidi="ar"/>
        </w:rPr>
        <w:t>本文件按照</w:t>
      </w:r>
      <w:bookmarkStart w:id="27" w:name="OLE_LINK12"/>
      <w:r>
        <w:rPr>
          <w:rFonts w:ascii="Times New Roman" w:hAnsi="Times New Roman" w:cs="Times New Roman"/>
          <w:sz w:val="21"/>
          <w:szCs w:val="21"/>
          <w:lang w:bidi="ar"/>
        </w:rPr>
        <w:t>GB/T 1.1—2020</w:t>
      </w:r>
      <w:bookmarkEnd w:id="27"/>
      <w:r>
        <w:rPr>
          <w:rFonts w:ascii="Times New Roman" w:hAnsi="Times New Roman" w:cs="Times New Roman"/>
          <w:sz w:val="21"/>
          <w:szCs w:val="21"/>
          <w:lang w:bidi="ar"/>
        </w:rPr>
        <w:t>《标准化工作导则 第1部分：标准化文件的结构和起草规则》的规定起草。</w:t>
      </w:r>
    </w:p>
    <w:p w14:paraId="458FB4B6">
      <w:pPr>
        <w:pStyle w:val="31"/>
        <w:tabs>
          <w:tab w:val="center" w:pos="4201"/>
          <w:tab w:val="right" w:leader="dot" w:pos="9298"/>
        </w:tabs>
        <w:autoSpaceDE w:val="0"/>
        <w:autoSpaceDN w:val="0"/>
        <w:spacing w:before="0" w:beforeAutospacing="0" w:after="0" w:afterAutospacing="0" w:line="273" w:lineRule="auto"/>
        <w:ind w:firstLine="420" w:firstLineChars="200"/>
        <w:jc w:val="both"/>
        <w:rPr>
          <w:rFonts w:ascii="Times New Roman" w:hAnsi="Times New Roman" w:cs="Times New Roman"/>
          <w:sz w:val="21"/>
          <w:szCs w:val="21"/>
        </w:rPr>
      </w:pPr>
      <w:r>
        <w:rPr>
          <w:rFonts w:ascii="Times New Roman" w:hAnsi="Times New Roman" w:cs="Times New Roman"/>
          <w:sz w:val="21"/>
          <w:szCs w:val="21"/>
          <w:lang w:bidi="ar"/>
        </w:rPr>
        <w:t>请注意本文件的某些内容可能涉及专利。本文件的发布机构不承担识别这些专利的责任。</w:t>
      </w:r>
    </w:p>
    <w:p w14:paraId="3514902C">
      <w:pPr>
        <w:pStyle w:val="31"/>
        <w:tabs>
          <w:tab w:val="center" w:pos="4201"/>
          <w:tab w:val="right" w:leader="dot" w:pos="9298"/>
        </w:tabs>
        <w:autoSpaceDE w:val="0"/>
        <w:autoSpaceDN w:val="0"/>
        <w:spacing w:before="50" w:beforeAutospacing="0" w:after="0" w:afterAutospacing="0" w:line="273" w:lineRule="auto"/>
        <w:ind w:firstLine="420" w:firstLineChars="200"/>
        <w:jc w:val="both"/>
        <w:rPr>
          <w:rFonts w:ascii="Times New Roman" w:hAnsi="Times New Roman" w:cs="Times New Roman"/>
          <w:sz w:val="21"/>
          <w:szCs w:val="21"/>
        </w:rPr>
      </w:pPr>
      <w:r>
        <w:rPr>
          <w:rFonts w:ascii="Times New Roman" w:hAnsi="Times New Roman" w:cs="Times New Roman"/>
          <w:sz w:val="21"/>
          <w:szCs w:val="21"/>
          <w:lang w:bidi="ar"/>
        </w:rPr>
        <w:t>本文件由中国生物材料学会提出。</w:t>
      </w:r>
    </w:p>
    <w:p w14:paraId="70EBAA98">
      <w:pPr>
        <w:pStyle w:val="31"/>
        <w:tabs>
          <w:tab w:val="center" w:pos="4201"/>
          <w:tab w:val="right" w:leader="dot" w:pos="9298"/>
        </w:tabs>
        <w:autoSpaceDE w:val="0"/>
        <w:autoSpaceDN w:val="0"/>
        <w:spacing w:before="50" w:beforeAutospacing="0" w:after="0" w:afterAutospacing="0" w:line="273" w:lineRule="auto"/>
        <w:ind w:firstLine="420" w:firstLineChars="200"/>
        <w:jc w:val="both"/>
        <w:rPr>
          <w:rFonts w:ascii="Times New Roman" w:hAnsi="Times New Roman" w:cs="Times New Roman"/>
          <w:sz w:val="21"/>
          <w:szCs w:val="21"/>
        </w:rPr>
      </w:pPr>
      <w:r>
        <w:rPr>
          <w:rFonts w:ascii="Times New Roman" w:hAnsi="Times New Roman" w:cs="Times New Roman"/>
          <w:sz w:val="21"/>
          <w:szCs w:val="21"/>
          <w:lang w:bidi="ar"/>
        </w:rPr>
        <w:t>本文件由中国生物材料学会标准工作委员会归口。</w:t>
      </w:r>
    </w:p>
    <w:p w14:paraId="1BFC756B">
      <w:pPr>
        <w:spacing w:before="50" w:line="273" w:lineRule="auto"/>
        <w:ind w:firstLine="420" w:firstLineChars="200"/>
        <w:rPr>
          <w:szCs w:val="21"/>
        </w:rPr>
      </w:pPr>
      <w:r>
        <w:rPr>
          <w:szCs w:val="21"/>
          <w:lang w:bidi="ar"/>
        </w:rPr>
        <w:t>本文件起草单位：上海锐捷荣创医疗科技有限公司，</w:t>
      </w:r>
      <w:r>
        <w:t>上海健康医学院</w:t>
      </w:r>
      <w:bookmarkStart w:id="28" w:name="OLE_LINK20"/>
      <w:r>
        <w:t>，</w:t>
      </w:r>
      <w:bookmarkEnd w:id="28"/>
      <w:r>
        <w:t>上海市医疗器械检验研究院，复旦大学附属中山医院，东华大学，复旦大学，湖北</w:t>
      </w:r>
      <w:r>
        <w:rPr>
          <w:rFonts w:hint="eastAsia"/>
        </w:rPr>
        <w:t>赛</w:t>
      </w:r>
      <w:r>
        <w:t>罗生物材料有限公司，四川大学华西医院，上海长征医院</w:t>
      </w:r>
      <w:r>
        <w:rPr>
          <w:rFonts w:hint="eastAsia"/>
        </w:rPr>
        <w:t>，</w:t>
      </w:r>
      <w:r>
        <w:t>上海交通大学医学院附属第九人民医院。</w:t>
      </w:r>
    </w:p>
    <w:p w14:paraId="3F314870">
      <w:pPr>
        <w:pStyle w:val="31"/>
        <w:tabs>
          <w:tab w:val="center" w:pos="4201"/>
          <w:tab w:val="right" w:leader="dot" w:pos="9298"/>
        </w:tabs>
        <w:autoSpaceDE w:val="0"/>
        <w:autoSpaceDN w:val="0"/>
        <w:spacing w:before="50" w:beforeAutospacing="0" w:after="0" w:afterAutospacing="0" w:line="273" w:lineRule="auto"/>
        <w:ind w:firstLine="420" w:firstLineChars="200"/>
        <w:jc w:val="both"/>
        <w:rPr>
          <w:rFonts w:ascii="Times New Roman" w:hAnsi="Times New Roman" w:cs="Times New Roman"/>
          <w:sz w:val="21"/>
          <w:szCs w:val="21"/>
        </w:rPr>
      </w:pPr>
      <w:r>
        <w:rPr>
          <w:rFonts w:ascii="Times New Roman" w:hAnsi="Times New Roman" w:cs="Times New Roman"/>
          <w:sz w:val="21"/>
          <w:szCs w:val="21"/>
          <w:lang w:bidi="ar"/>
        </w:rPr>
        <w:t>本文件主要起草人：</w:t>
      </w:r>
      <w:bookmarkStart w:id="29" w:name="OLE_LINK1"/>
      <w:r>
        <w:rPr>
          <w:rFonts w:ascii="Times New Roman" w:hAnsi="Times New Roman" w:cs="Times New Roman"/>
          <w:sz w:val="21"/>
          <w:szCs w:val="21"/>
          <w:lang w:bidi="ar"/>
        </w:rPr>
        <w:t>幸嵘，林祥德</w:t>
      </w:r>
      <w:r>
        <w:rPr>
          <w:rFonts w:hint="eastAsia" w:ascii="Times New Roman" w:hAnsi="Times New Roman" w:cs="Times New Roman"/>
          <w:sz w:val="21"/>
          <w:szCs w:val="21"/>
          <w:lang w:bidi="ar"/>
        </w:rPr>
        <w:t>，</w:t>
      </w:r>
      <w:r>
        <w:rPr>
          <w:rFonts w:ascii="Times New Roman" w:hAnsi="Times New Roman" w:cs="Times New Roman"/>
          <w:sz w:val="21"/>
          <w:szCs w:val="21"/>
          <w:lang w:bidi="ar"/>
        </w:rPr>
        <w:t>凡四杰</w:t>
      </w:r>
      <w:r>
        <w:rPr>
          <w:rFonts w:hint="eastAsia" w:ascii="Times New Roman" w:hAnsi="Times New Roman" w:cs="Times New Roman"/>
          <w:sz w:val="21"/>
          <w:szCs w:val="21"/>
          <w:lang w:bidi="ar"/>
        </w:rPr>
        <w:t>，</w:t>
      </w:r>
      <w:r>
        <w:rPr>
          <w:rFonts w:ascii="Times New Roman" w:hAnsi="Times New Roman" w:cs="Times New Roman"/>
          <w:sz w:val="21"/>
          <w:szCs w:val="21"/>
          <w:lang w:bidi="ar"/>
        </w:rPr>
        <w:t>江立波，姚响，俞麟，吴琳，孔清泉，</w:t>
      </w:r>
      <w:bookmarkStart w:id="30" w:name="OLE_LINK9"/>
      <w:r>
        <w:rPr>
          <w:rFonts w:ascii="Times New Roman" w:hAnsi="Times New Roman" w:cs="Times New Roman"/>
          <w:sz w:val="21"/>
          <w:szCs w:val="21"/>
          <w:lang w:bidi="ar"/>
        </w:rPr>
        <w:t>蔡小攀</w:t>
      </w:r>
      <w:r>
        <w:rPr>
          <w:rFonts w:hint="eastAsia" w:ascii="Times New Roman" w:hAnsi="Times New Roman" w:cs="Times New Roman"/>
          <w:sz w:val="21"/>
          <w:szCs w:val="21"/>
          <w:lang w:bidi="ar"/>
        </w:rPr>
        <w:t>，</w:t>
      </w:r>
      <w:r>
        <w:rPr>
          <w:rFonts w:ascii="Times New Roman" w:hAnsi="Times New Roman" w:cs="Times New Roman"/>
          <w:sz w:val="21"/>
          <w:szCs w:val="21"/>
          <w:lang w:bidi="ar"/>
        </w:rPr>
        <w:t>曹德君</w:t>
      </w:r>
      <w:bookmarkEnd w:id="30"/>
      <w:r>
        <w:rPr>
          <w:rFonts w:ascii="Times New Roman" w:hAnsi="Times New Roman" w:cs="Times New Roman"/>
          <w:sz w:val="21"/>
          <w:szCs w:val="21"/>
          <w:lang w:bidi="ar"/>
        </w:rPr>
        <w:t>，朱笑蒙，董森森，方斌，夏梦阁，施罕。</w:t>
      </w:r>
      <w:bookmarkEnd w:id="29"/>
    </w:p>
    <w:p w14:paraId="4CB66CCC">
      <w:pPr>
        <w:pStyle w:val="24"/>
        <w:spacing w:before="50"/>
        <w:rPr>
          <w:rFonts w:ascii="Times New Roman"/>
        </w:rPr>
      </w:pPr>
    </w:p>
    <w:p w14:paraId="0D78A554">
      <w:pPr>
        <w:pStyle w:val="24"/>
        <w:rPr>
          <w:rFonts w:ascii="Times New Roman"/>
        </w:rPr>
        <w:sectPr>
          <w:headerReference r:id="rId6" w:type="first"/>
          <w:headerReference r:id="rId4" w:type="default"/>
          <w:footerReference r:id="rId7" w:type="default"/>
          <w:headerReference r:id="rId5" w:type="even"/>
          <w:pgSz w:w="11906" w:h="16838"/>
          <w:pgMar w:top="567" w:right="1134" w:bottom="1134" w:left="1417" w:header="1418" w:footer="1134" w:gutter="0"/>
          <w:pgNumType w:fmt="upperRoman" w:start="1"/>
          <w:cols w:space="425" w:num="1"/>
          <w:formProt w:val="0"/>
          <w:docGrid w:type="lines" w:linePitch="312" w:charSpace="0"/>
        </w:sectPr>
      </w:pPr>
    </w:p>
    <w:p w14:paraId="686B4B79">
      <w:pPr>
        <w:pStyle w:val="54"/>
        <w:rPr>
          <w:rFonts w:ascii="Times New Roman"/>
        </w:rPr>
      </w:pPr>
      <w:r>
        <w:rPr>
          <w:rFonts w:ascii="Times New Roman"/>
        </w:rPr>
        <w:t>可吸收丝素蛋白骨修复材料</w:t>
      </w:r>
    </w:p>
    <w:p w14:paraId="3A986440">
      <w:pPr>
        <w:pStyle w:val="49"/>
        <w:spacing w:before="312" w:after="312"/>
        <w:ind w:left="0"/>
        <w:rPr>
          <w:rFonts w:ascii="Times New Roman"/>
        </w:rPr>
      </w:pPr>
      <w:bookmarkStart w:id="31" w:name="_Toc342665738"/>
      <w:bookmarkStart w:id="32" w:name="_Toc340491279"/>
      <w:bookmarkStart w:id="33" w:name="_Toc374444821"/>
      <w:bookmarkStart w:id="34" w:name="_Toc354142268"/>
      <w:bookmarkStart w:id="35" w:name="_Toc358964228"/>
      <w:bookmarkStart w:id="36" w:name="_Toc343596937"/>
      <w:bookmarkStart w:id="37" w:name="_Toc338060691"/>
      <w:bookmarkStart w:id="38" w:name="_Toc338604799"/>
      <w:bookmarkStart w:id="39" w:name="_Toc428177672"/>
      <w:bookmarkStart w:id="40" w:name="_Toc354142628"/>
      <w:bookmarkStart w:id="41" w:name="_Toc338754585"/>
      <w:bookmarkStart w:id="42" w:name="_Toc338685858"/>
      <w:bookmarkStart w:id="43" w:name="_Toc398301038"/>
      <w:bookmarkStart w:id="44" w:name="_Toc338060634"/>
      <w:bookmarkStart w:id="45" w:name="_Toc342589524"/>
      <w:bookmarkStart w:id="46" w:name="_Toc237247728"/>
      <w:bookmarkStart w:id="47" w:name="_Toc354142463"/>
      <w:r>
        <w:rPr>
          <w:rFonts w:ascii="Times New Roman"/>
        </w:rPr>
        <w:t>范围</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Start w:id="48" w:name="_Toc428177673"/>
      <w:bookmarkStart w:id="49" w:name="_Toc354142464"/>
      <w:bookmarkStart w:id="50" w:name="_Toc358964229"/>
      <w:bookmarkStart w:id="51" w:name="_Toc398301039"/>
      <w:bookmarkStart w:id="52" w:name="_Toc354142629"/>
      <w:bookmarkStart w:id="53" w:name="_Toc374444822"/>
      <w:bookmarkStart w:id="54" w:name="_Toc354142269"/>
      <w:bookmarkStart w:id="55" w:name="_Toc340491280"/>
      <w:bookmarkStart w:id="56" w:name="_Toc338060635"/>
      <w:bookmarkStart w:id="57" w:name="_Toc338685859"/>
      <w:bookmarkStart w:id="58" w:name="_Toc338604800"/>
      <w:bookmarkStart w:id="59" w:name="_Toc338754586"/>
      <w:bookmarkStart w:id="60" w:name="_Toc338060692"/>
      <w:bookmarkStart w:id="61" w:name="_Toc342665739"/>
      <w:bookmarkStart w:id="62" w:name="_Toc342589525"/>
      <w:bookmarkStart w:id="63" w:name="_Toc343596938"/>
    </w:p>
    <w:p w14:paraId="034ABF40">
      <w:pPr>
        <w:pStyle w:val="24"/>
        <w:rPr>
          <w:rFonts w:ascii="Times New Roman"/>
        </w:rPr>
      </w:pPr>
      <w:r>
        <w:rPr>
          <w:rFonts w:ascii="Times New Roman"/>
        </w:rPr>
        <w:t>本文件适用于丝素蛋白制成的骨修复材料。</w:t>
      </w:r>
    </w:p>
    <w:p w14:paraId="65979F1D">
      <w:pPr>
        <w:pStyle w:val="24"/>
        <w:rPr>
          <w:rFonts w:ascii="Times New Roman"/>
        </w:rPr>
      </w:pPr>
      <w:r>
        <w:rPr>
          <w:rFonts w:ascii="Times New Roman"/>
        </w:rPr>
        <w:t>含生长因子（如骨形成蛋白）、与可降解材料复合、纳米工艺或增材制造工艺制成的以及其他新型丝素蛋白骨修复材料，可根据产品材料属性、结构特征、生物力学特性及临床使用要求，</w:t>
      </w:r>
      <w:r>
        <w:rPr>
          <w:rFonts w:hint="eastAsia" w:ascii="Times New Roman"/>
        </w:rPr>
        <w:t>可</w:t>
      </w:r>
      <w:r>
        <w:rPr>
          <w:rFonts w:ascii="Times New Roman"/>
        </w:rPr>
        <w:t>参考本文件适用部分。</w:t>
      </w:r>
    </w:p>
    <w:p w14:paraId="04C00378">
      <w:pPr>
        <w:pStyle w:val="49"/>
        <w:spacing w:before="312" w:after="312"/>
        <w:ind w:left="0"/>
        <w:rPr>
          <w:rFonts w:ascii="Times New Roman"/>
        </w:rPr>
      </w:pPr>
      <w:bookmarkStart w:id="64" w:name="_Toc237247729"/>
      <w:r>
        <w:rPr>
          <w:rFonts w:ascii="Times New Roman"/>
        </w:rPr>
        <w:t>规范性引用文件</w:t>
      </w:r>
      <w:bookmarkEnd w:id="48"/>
      <w:bookmarkEnd w:id="49"/>
      <w:bookmarkEnd w:id="50"/>
      <w:bookmarkEnd w:id="51"/>
      <w:bookmarkEnd w:id="52"/>
      <w:bookmarkEnd w:id="53"/>
      <w:bookmarkEnd w:id="54"/>
      <w:bookmarkEnd w:id="64"/>
    </w:p>
    <w:p w14:paraId="3A7C50FE">
      <w:pPr>
        <w:pStyle w:val="24"/>
        <w:rPr>
          <w:rFonts w:ascii="Times New Roman"/>
        </w:rPr>
      </w:pPr>
      <w:r>
        <w:rPr>
          <w:rFonts w:ascii="Times New Roman"/>
          <w:color w:val="000000"/>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4AAF5803">
      <w:pPr>
        <w:pStyle w:val="31"/>
        <w:tabs>
          <w:tab w:val="center" w:pos="4201"/>
          <w:tab w:val="right" w:leader="dot" w:pos="9298"/>
        </w:tabs>
        <w:autoSpaceDE w:val="0"/>
        <w:autoSpaceDN w:val="0"/>
        <w:spacing w:before="0" w:beforeAutospacing="0" w:after="0" w:afterAutospacing="0" w:line="273" w:lineRule="auto"/>
        <w:ind w:firstLine="420" w:firstLineChars="200"/>
        <w:jc w:val="both"/>
        <w:rPr>
          <w:rFonts w:ascii="Times New Roman" w:hAnsi="Times New Roman" w:cs="Times New Roman"/>
          <w:color w:val="auto"/>
          <w:sz w:val="21"/>
        </w:rPr>
      </w:pPr>
      <w:r>
        <w:rPr>
          <w:rFonts w:ascii="Times New Roman" w:hAnsi="Times New Roman" w:cs="Times New Roman"/>
          <w:color w:val="auto"/>
          <w:sz w:val="21"/>
        </w:rPr>
        <w:t>GB/T 16886</w:t>
      </w:r>
      <w:bookmarkStart w:id="65" w:name="OLE_LINK16"/>
      <w:r>
        <w:rPr>
          <w:rFonts w:ascii="Times New Roman" w:hAnsi="Times New Roman" w:cs="Times New Roman"/>
          <w:color w:val="auto"/>
          <w:sz w:val="21"/>
        </w:rPr>
        <w:t>（所有部分）</w:t>
      </w:r>
      <w:bookmarkEnd w:id="65"/>
      <w:r>
        <w:rPr>
          <w:rFonts w:ascii="Times New Roman" w:hAnsi="Times New Roman" w:cs="Times New Roman"/>
          <w:color w:val="auto"/>
          <w:sz w:val="21"/>
        </w:rPr>
        <w:t xml:space="preserve"> 医疗器械生物学评价</w:t>
      </w:r>
    </w:p>
    <w:p w14:paraId="5DE160BB">
      <w:pPr>
        <w:pStyle w:val="31"/>
        <w:tabs>
          <w:tab w:val="center" w:pos="4201"/>
          <w:tab w:val="right" w:leader="dot" w:pos="9298"/>
        </w:tabs>
        <w:autoSpaceDE w:val="0"/>
        <w:autoSpaceDN w:val="0"/>
        <w:spacing w:before="0" w:beforeAutospacing="0" w:after="0" w:afterAutospacing="0" w:line="273" w:lineRule="auto"/>
        <w:ind w:firstLine="420" w:firstLineChars="200"/>
        <w:jc w:val="both"/>
        <w:rPr>
          <w:rFonts w:ascii="Times New Roman" w:hAnsi="Times New Roman" w:cs="Times New Roman"/>
          <w:color w:val="auto"/>
          <w:sz w:val="21"/>
        </w:rPr>
      </w:pPr>
      <w:r>
        <w:rPr>
          <w:rFonts w:ascii="Times New Roman" w:hAnsi="Times New Roman" w:cs="Times New Roman"/>
          <w:color w:val="auto"/>
          <w:sz w:val="21"/>
        </w:rPr>
        <w:t>GB/T 44353（所有部分） 动物源医疗器械</w:t>
      </w:r>
    </w:p>
    <w:p w14:paraId="5FA5152D">
      <w:pPr>
        <w:pStyle w:val="31"/>
        <w:tabs>
          <w:tab w:val="center" w:pos="4201"/>
          <w:tab w:val="right" w:leader="dot" w:pos="9298"/>
        </w:tabs>
        <w:autoSpaceDE w:val="0"/>
        <w:autoSpaceDN w:val="0"/>
        <w:spacing w:before="0" w:beforeAutospacing="0" w:after="0" w:afterAutospacing="0" w:line="273" w:lineRule="auto"/>
        <w:ind w:firstLine="420" w:firstLineChars="200"/>
        <w:jc w:val="both"/>
        <w:rPr>
          <w:rFonts w:ascii="Times New Roman" w:hAnsi="Times New Roman" w:cs="Times New Roman"/>
          <w:color w:val="auto"/>
          <w:sz w:val="21"/>
        </w:rPr>
      </w:pPr>
      <w:r>
        <w:rPr>
          <w:rFonts w:ascii="Times New Roman" w:hAnsi="Times New Roman" w:cs="Times New Roman"/>
          <w:color w:val="auto"/>
          <w:sz w:val="21"/>
        </w:rPr>
        <w:t>YY/T 1950-2024 组织工程医疗器械 丝素蛋白</w:t>
      </w:r>
    </w:p>
    <w:p w14:paraId="4794FA55">
      <w:pPr>
        <w:pStyle w:val="31"/>
        <w:tabs>
          <w:tab w:val="center" w:pos="4201"/>
          <w:tab w:val="right" w:leader="dot" w:pos="9298"/>
        </w:tabs>
        <w:autoSpaceDE w:val="0"/>
        <w:autoSpaceDN w:val="0"/>
        <w:spacing w:before="0" w:beforeAutospacing="0" w:after="0" w:afterAutospacing="0" w:line="273" w:lineRule="auto"/>
        <w:ind w:firstLine="420" w:firstLineChars="200"/>
        <w:jc w:val="both"/>
        <w:rPr>
          <w:rFonts w:ascii="Times New Roman" w:hAnsi="Times New Roman" w:cs="Times New Roman"/>
          <w:color w:val="auto"/>
          <w:sz w:val="21"/>
        </w:rPr>
      </w:pPr>
      <w:r>
        <w:rPr>
          <w:rFonts w:ascii="Times New Roman" w:hAnsi="Times New Roman" w:cs="Times New Roman"/>
          <w:color w:val="auto"/>
          <w:sz w:val="21"/>
        </w:rPr>
        <w:t>YY/T 0640-2016 无源外科植入物通用要求</w:t>
      </w:r>
    </w:p>
    <w:p w14:paraId="1035680A">
      <w:pPr>
        <w:pStyle w:val="31"/>
        <w:tabs>
          <w:tab w:val="center" w:pos="4201"/>
          <w:tab w:val="right" w:leader="dot" w:pos="9298"/>
        </w:tabs>
        <w:autoSpaceDE w:val="0"/>
        <w:autoSpaceDN w:val="0"/>
        <w:spacing w:before="0" w:beforeAutospacing="0" w:after="0" w:afterAutospacing="0" w:line="273" w:lineRule="auto"/>
        <w:ind w:firstLine="420" w:firstLineChars="200"/>
        <w:jc w:val="both"/>
        <w:rPr>
          <w:rFonts w:ascii="Times New Roman" w:hAnsi="Times New Roman" w:cs="Times New Roman"/>
          <w:color w:val="auto"/>
          <w:sz w:val="21"/>
        </w:rPr>
      </w:pPr>
      <w:r>
        <w:rPr>
          <w:rFonts w:ascii="Times New Roman" w:hAnsi="Times New Roman" w:cs="Times New Roman"/>
          <w:color w:val="auto"/>
          <w:sz w:val="21"/>
        </w:rPr>
        <w:t>YY/T 0473-2004 外科植入物 聚交酯共聚物和共混物体外降解试验</w:t>
      </w:r>
    </w:p>
    <w:p w14:paraId="2031802D">
      <w:pPr>
        <w:pStyle w:val="31"/>
        <w:tabs>
          <w:tab w:val="center" w:pos="4201"/>
          <w:tab w:val="right" w:leader="dot" w:pos="9298"/>
        </w:tabs>
        <w:autoSpaceDE w:val="0"/>
        <w:autoSpaceDN w:val="0"/>
        <w:spacing w:before="0" w:beforeAutospacing="0" w:after="0" w:afterAutospacing="0" w:line="273" w:lineRule="auto"/>
        <w:ind w:firstLine="420" w:firstLineChars="200"/>
        <w:jc w:val="both"/>
        <w:rPr>
          <w:rFonts w:ascii="Times New Roman" w:hAnsi="Times New Roman" w:cs="Times New Roman"/>
          <w:color w:val="auto"/>
          <w:sz w:val="21"/>
        </w:rPr>
      </w:pPr>
      <w:r>
        <w:rPr>
          <w:rFonts w:ascii="Times New Roman" w:hAnsi="Times New Roman" w:cs="Times New Roman"/>
          <w:color w:val="auto"/>
          <w:sz w:val="21"/>
        </w:rPr>
        <w:t>YY/T 0474-2025 外科植入物 聚丙交酯均聚物、共聚物和共混物　体外降解试验</w:t>
      </w:r>
    </w:p>
    <w:p w14:paraId="304E1BD2">
      <w:pPr>
        <w:pStyle w:val="31"/>
        <w:tabs>
          <w:tab w:val="center" w:pos="4201"/>
          <w:tab w:val="right" w:leader="dot" w:pos="9298"/>
        </w:tabs>
        <w:autoSpaceDE w:val="0"/>
        <w:autoSpaceDN w:val="0"/>
        <w:spacing w:before="0" w:beforeAutospacing="0" w:after="0" w:afterAutospacing="0" w:line="273" w:lineRule="auto"/>
        <w:ind w:firstLine="420" w:firstLineChars="200"/>
        <w:jc w:val="both"/>
        <w:rPr>
          <w:rFonts w:ascii="Times New Roman" w:hAnsi="Times New Roman" w:cs="Times New Roman"/>
          <w:color w:val="auto"/>
          <w:sz w:val="21"/>
        </w:rPr>
      </w:pPr>
      <w:r>
        <w:rPr>
          <w:rFonts w:hint="eastAsia" w:ascii="Times New Roman" w:hAnsi="Times New Roman" w:cs="Times New Roman"/>
          <w:color w:val="auto"/>
          <w:sz w:val="21"/>
        </w:rPr>
        <w:t>（先写国标再写行标）</w:t>
      </w:r>
    </w:p>
    <w:p w14:paraId="2EB49512">
      <w:pPr>
        <w:pStyle w:val="31"/>
        <w:tabs>
          <w:tab w:val="center" w:pos="4201"/>
          <w:tab w:val="right" w:leader="dot" w:pos="9298"/>
        </w:tabs>
        <w:autoSpaceDE w:val="0"/>
        <w:autoSpaceDN w:val="0"/>
        <w:spacing w:before="0" w:beforeAutospacing="0" w:after="0" w:afterAutospacing="0" w:line="273" w:lineRule="auto"/>
        <w:ind w:firstLine="420" w:firstLineChars="200"/>
        <w:jc w:val="both"/>
        <w:rPr>
          <w:rFonts w:ascii="Times New Roman" w:hAnsi="Times New Roman" w:cs="Times New Roman"/>
          <w:color w:val="auto"/>
          <w:sz w:val="21"/>
        </w:rPr>
      </w:pPr>
      <w:r>
        <w:rPr>
          <w:rFonts w:ascii="Times New Roman" w:hAnsi="Times New Roman" w:cs="Times New Roman"/>
          <w:color w:val="auto"/>
          <w:sz w:val="21"/>
        </w:rPr>
        <w:t>中华人民共和国药典</w:t>
      </w:r>
      <w:r>
        <w:rPr>
          <w:rFonts w:hint="eastAsia" w:ascii="Times New Roman" w:hAnsi="Times New Roman" w:cs="Times New Roman"/>
          <w:color w:val="auto"/>
          <w:sz w:val="21"/>
        </w:rPr>
        <w:t>（</w:t>
      </w:r>
      <w:r>
        <w:rPr>
          <w:rFonts w:ascii="Times New Roman" w:hAnsi="Times New Roman" w:cs="Times New Roman"/>
          <w:color w:val="auto"/>
          <w:sz w:val="21"/>
        </w:rPr>
        <w:t>2025年版</w:t>
      </w:r>
      <w:r>
        <w:rPr>
          <w:rFonts w:hint="eastAsia" w:ascii="Times New Roman" w:hAnsi="Times New Roman" w:cs="Times New Roman"/>
          <w:color w:val="auto"/>
          <w:sz w:val="21"/>
        </w:rPr>
        <w:t>）四部</w:t>
      </w:r>
    </w:p>
    <w:p w14:paraId="27669D0A">
      <w:pPr>
        <w:pStyle w:val="31"/>
        <w:tabs>
          <w:tab w:val="center" w:pos="4201"/>
          <w:tab w:val="right" w:leader="dot" w:pos="9298"/>
        </w:tabs>
        <w:autoSpaceDE w:val="0"/>
        <w:autoSpaceDN w:val="0"/>
        <w:spacing w:before="0" w:beforeAutospacing="0" w:after="0" w:afterAutospacing="0" w:line="273" w:lineRule="auto"/>
        <w:ind w:firstLine="420" w:firstLineChars="200"/>
        <w:jc w:val="both"/>
        <w:rPr>
          <w:rFonts w:ascii="Times New Roman" w:hAnsi="Times New Roman" w:cs="Times New Roman"/>
          <w:color w:val="auto"/>
          <w:sz w:val="21"/>
        </w:rPr>
      </w:pPr>
    </w:p>
    <w:p w14:paraId="43D03B1D">
      <w:pPr>
        <w:pStyle w:val="49"/>
        <w:spacing w:before="312" w:after="312"/>
        <w:ind w:left="0"/>
        <w:rPr>
          <w:rFonts w:ascii="Times New Roman" w:eastAsia="宋体"/>
        </w:rPr>
      </w:pPr>
      <w:bookmarkStart w:id="66" w:name="_Toc354142270"/>
      <w:bookmarkStart w:id="67" w:name="_Toc358964230"/>
      <w:bookmarkStart w:id="68" w:name="_Toc354142630"/>
      <w:bookmarkStart w:id="69" w:name="_Toc354142465"/>
      <w:bookmarkStart w:id="70" w:name="_Toc374444823"/>
      <w:bookmarkStart w:id="71" w:name="_Toc237247730"/>
      <w:bookmarkStart w:id="72" w:name="_Toc398301040"/>
      <w:bookmarkStart w:id="73" w:name="_Toc428177674"/>
      <w:r>
        <w:rPr>
          <w:rFonts w:ascii="Times New Roman"/>
        </w:rPr>
        <w:t>术语和定义</w:t>
      </w:r>
      <w:bookmarkEnd w:id="66"/>
      <w:bookmarkEnd w:id="67"/>
      <w:bookmarkEnd w:id="68"/>
      <w:bookmarkEnd w:id="69"/>
      <w:bookmarkEnd w:id="70"/>
      <w:bookmarkEnd w:id="71"/>
      <w:bookmarkEnd w:id="72"/>
      <w:bookmarkEnd w:id="73"/>
    </w:p>
    <w:p w14:paraId="2678AC8A">
      <w:pPr>
        <w:pStyle w:val="24"/>
        <w:rPr>
          <w:rFonts w:ascii="Times New Roman"/>
        </w:rPr>
      </w:pPr>
      <w:r>
        <w:rPr>
          <w:rFonts w:ascii="Times New Roman"/>
        </w:rPr>
        <w:t>下列术语与定义适用于本文件。</w:t>
      </w:r>
    </w:p>
    <w:p w14:paraId="7E7FFE46">
      <w:pPr>
        <w:pStyle w:val="24"/>
        <w:ind w:firstLine="0" w:firstLineChars="0"/>
        <w:rPr>
          <w:rFonts w:hint="eastAsia" w:ascii="黑体" w:hAnsi="黑体" w:eastAsia="黑体"/>
          <w:szCs w:val="21"/>
        </w:rPr>
      </w:pPr>
      <w:r>
        <w:rPr>
          <w:rFonts w:ascii="黑体" w:hAnsi="黑体" w:eastAsia="黑体"/>
          <w:szCs w:val="21"/>
        </w:rPr>
        <w:t>3.1</w:t>
      </w:r>
    </w:p>
    <w:p w14:paraId="0F4AC2F6">
      <w:pPr>
        <w:pStyle w:val="46"/>
        <w:spacing w:before="156" w:after="156" w:line="276" w:lineRule="auto"/>
        <w:ind w:firstLine="420" w:firstLineChars="200"/>
        <w:outlineLvl w:val="9"/>
        <w:rPr>
          <w:rFonts w:ascii="Times New Roman"/>
        </w:rPr>
      </w:pPr>
      <w:bookmarkStart w:id="74" w:name="OLE_LINK4"/>
      <w:bookmarkStart w:id="75" w:name="OLE_LINK5"/>
      <w:r>
        <w:rPr>
          <w:rFonts w:ascii="Times New Roman"/>
        </w:rPr>
        <w:t>丝素蛋白（silk fibroin）</w:t>
      </w:r>
    </w:p>
    <w:bookmarkEnd w:id="74"/>
    <w:bookmarkEnd w:id="75"/>
    <w:p w14:paraId="422610D6">
      <w:pPr>
        <w:pStyle w:val="24"/>
        <w:rPr>
          <w:rFonts w:ascii="Times New Roman"/>
        </w:rPr>
      </w:pPr>
      <w:bookmarkStart w:id="76" w:name="_Toc399190723"/>
      <w:bookmarkEnd w:id="76"/>
      <w:bookmarkStart w:id="77" w:name="_Toc399190721"/>
      <w:bookmarkEnd w:id="77"/>
      <w:bookmarkStart w:id="78" w:name="_Toc399190699"/>
      <w:bookmarkEnd w:id="78"/>
      <w:bookmarkStart w:id="79" w:name="_Toc399190722"/>
      <w:bookmarkEnd w:id="79"/>
      <w:bookmarkStart w:id="80" w:name="_Toc399190725"/>
      <w:bookmarkEnd w:id="80"/>
      <w:bookmarkStart w:id="81" w:name="_Toc399190720"/>
      <w:bookmarkEnd w:id="81"/>
      <w:bookmarkStart w:id="82" w:name="_Toc399190715"/>
      <w:bookmarkEnd w:id="82"/>
      <w:bookmarkStart w:id="83" w:name="_Toc399190713"/>
      <w:bookmarkEnd w:id="83"/>
      <w:bookmarkStart w:id="84" w:name="_Toc399190719"/>
      <w:bookmarkEnd w:id="84"/>
      <w:r>
        <w:rPr>
          <w:rFonts w:ascii="Times New Roman"/>
        </w:rPr>
        <w:t>由桑蚕后部丝腺合成分泌的纤维状蚕丝蛋白。</w:t>
      </w:r>
    </w:p>
    <w:p w14:paraId="22763F3E">
      <w:pPr>
        <w:pStyle w:val="24"/>
        <w:ind w:firstLine="0" w:firstLineChars="0"/>
        <w:rPr>
          <w:rFonts w:hint="eastAsia" w:ascii="黑体" w:hAnsi="黑体" w:eastAsia="黑体"/>
          <w:szCs w:val="21"/>
        </w:rPr>
      </w:pPr>
      <w:r>
        <w:rPr>
          <w:rFonts w:ascii="黑体" w:hAnsi="黑体" w:eastAsia="黑体"/>
          <w:szCs w:val="21"/>
        </w:rPr>
        <w:t>3.2</w:t>
      </w:r>
    </w:p>
    <w:p w14:paraId="4960C7CB">
      <w:pPr>
        <w:pStyle w:val="46"/>
        <w:spacing w:before="156" w:after="156" w:line="276" w:lineRule="auto"/>
        <w:ind w:firstLine="420" w:firstLineChars="200"/>
        <w:outlineLvl w:val="9"/>
        <w:rPr>
          <w:rFonts w:ascii="Times New Roman"/>
        </w:rPr>
      </w:pPr>
      <w:r>
        <w:rPr>
          <w:rFonts w:ascii="Times New Roman"/>
        </w:rPr>
        <w:t>再生丝素蛋白（regenerated silk fibroin；RSF）</w:t>
      </w:r>
    </w:p>
    <w:p w14:paraId="20DD9FB9">
      <w:pPr>
        <w:pStyle w:val="24"/>
        <w:rPr>
          <w:rFonts w:ascii="Times New Roman"/>
        </w:rPr>
      </w:pPr>
      <w:r>
        <w:rPr>
          <w:rFonts w:ascii="Times New Roman"/>
        </w:rPr>
        <w:t>蚕丝核心纤维（丝素蛋白纤维）溶解除盐后的蛋白质混合物。</w:t>
      </w:r>
    </w:p>
    <w:p w14:paraId="023286E4">
      <w:pPr>
        <w:pStyle w:val="24"/>
        <w:ind w:firstLine="0" w:firstLineChars="0"/>
        <w:rPr>
          <w:rFonts w:hint="eastAsia" w:ascii="黑体" w:hAnsi="黑体" w:eastAsia="黑体"/>
          <w:szCs w:val="21"/>
        </w:rPr>
      </w:pPr>
      <w:r>
        <w:rPr>
          <w:rFonts w:ascii="黑体" w:hAnsi="黑体" w:eastAsia="黑体"/>
          <w:szCs w:val="21"/>
        </w:rPr>
        <w:t>3.3</w:t>
      </w:r>
    </w:p>
    <w:p w14:paraId="7145420A">
      <w:pPr>
        <w:pStyle w:val="46"/>
        <w:spacing w:before="156" w:after="156" w:line="276" w:lineRule="auto"/>
        <w:ind w:firstLine="420" w:firstLineChars="200"/>
        <w:outlineLvl w:val="9"/>
        <w:rPr>
          <w:rFonts w:ascii="Times New Roman"/>
        </w:rPr>
      </w:pPr>
      <w:r>
        <w:rPr>
          <w:rFonts w:ascii="Times New Roman"/>
        </w:rPr>
        <w:t>骨修复材料（Bone Repair Material）</w:t>
      </w:r>
    </w:p>
    <w:p w14:paraId="09035E91">
      <w:pPr>
        <w:pStyle w:val="24"/>
        <w:rPr>
          <w:rFonts w:ascii="Times New Roman"/>
        </w:rPr>
      </w:pPr>
      <w:r>
        <w:rPr>
          <w:rFonts w:ascii="Times New Roman"/>
        </w:rPr>
        <w:t>用于填充由创伤或手术等引起骨缺损产品。</w:t>
      </w:r>
    </w:p>
    <w:p w14:paraId="614F8790">
      <w:pPr>
        <w:pStyle w:val="24"/>
        <w:rPr>
          <w:rFonts w:ascii="Times New Roman"/>
        </w:rPr>
      </w:pPr>
    </w:p>
    <w:p w14:paraId="43108391">
      <w:pPr>
        <w:pStyle w:val="49"/>
        <w:spacing w:before="312" w:after="312"/>
        <w:ind w:left="0"/>
        <w:rPr>
          <w:rFonts w:ascii="Times New Roman"/>
        </w:rPr>
      </w:pPr>
      <w:bookmarkStart w:id="85" w:name="_Toc237247731"/>
      <w:r>
        <w:rPr>
          <w:rFonts w:ascii="Times New Roman"/>
        </w:rPr>
        <w:t>要求</w:t>
      </w:r>
      <w:bookmarkEnd w:id="85"/>
    </w:p>
    <w:p w14:paraId="6B942CDC">
      <w:pPr>
        <w:pStyle w:val="46"/>
        <w:numPr>
          <w:ilvl w:val="1"/>
          <w:numId w:val="2"/>
        </w:numPr>
        <w:spacing w:before="156" w:after="156" w:line="276" w:lineRule="auto"/>
        <w:rPr>
          <w:rFonts w:ascii="Times New Roman"/>
        </w:rPr>
      </w:pPr>
      <w:r>
        <w:rPr>
          <w:rFonts w:ascii="Times New Roman"/>
        </w:rPr>
        <w:t xml:space="preserve"> 材料</w:t>
      </w:r>
    </w:p>
    <w:p w14:paraId="746BA256">
      <w:pPr>
        <w:pStyle w:val="31"/>
        <w:tabs>
          <w:tab w:val="center" w:pos="4201"/>
          <w:tab w:val="right" w:leader="dot" w:pos="9298"/>
        </w:tabs>
        <w:autoSpaceDE w:val="0"/>
        <w:autoSpaceDN w:val="0"/>
        <w:spacing w:before="0" w:beforeAutospacing="0" w:after="0" w:afterAutospacing="0" w:line="273" w:lineRule="auto"/>
        <w:ind w:firstLine="420" w:firstLineChars="200"/>
        <w:jc w:val="both"/>
        <w:rPr>
          <w:rFonts w:ascii="Times New Roman" w:hAnsi="Times New Roman" w:cs="Times New Roman"/>
          <w:color w:val="auto"/>
          <w:sz w:val="21"/>
        </w:rPr>
      </w:pPr>
      <w:r>
        <w:rPr>
          <w:rFonts w:ascii="Times New Roman" w:hAnsi="Times New Roman" w:cs="Times New Roman"/>
          <w:color w:val="auto"/>
          <w:sz w:val="21"/>
        </w:rPr>
        <w:t>用于制备可吸收丝素蛋白骨修复材料的丝素蛋白原材料应符合YY/T 1950-2024的要求。</w:t>
      </w:r>
    </w:p>
    <w:p w14:paraId="087EAE4D">
      <w:pPr>
        <w:pStyle w:val="46"/>
        <w:numPr>
          <w:ilvl w:val="1"/>
          <w:numId w:val="2"/>
        </w:numPr>
        <w:spacing w:before="156" w:after="156" w:line="276" w:lineRule="auto"/>
        <w:rPr>
          <w:rFonts w:ascii="Times New Roman"/>
        </w:rPr>
      </w:pPr>
      <w:r>
        <w:rPr>
          <w:rFonts w:ascii="Times New Roman"/>
        </w:rPr>
        <w:t xml:space="preserve"> 外观</w:t>
      </w:r>
    </w:p>
    <w:p w14:paraId="7EF1697B">
      <w:pPr>
        <w:pStyle w:val="24"/>
        <w:rPr>
          <w:rFonts w:ascii="Times New Roman"/>
        </w:rPr>
      </w:pPr>
      <w:r>
        <w:rPr>
          <w:rFonts w:ascii="Times New Roman"/>
        </w:rPr>
        <w:t>应对产品外观如颜色、表面质量等进行规定。</w:t>
      </w:r>
    </w:p>
    <w:p w14:paraId="0E6885A7">
      <w:pPr>
        <w:pStyle w:val="46"/>
        <w:numPr>
          <w:ilvl w:val="1"/>
          <w:numId w:val="2"/>
        </w:numPr>
        <w:spacing w:before="156" w:after="156" w:line="276" w:lineRule="auto"/>
        <w:rPr>
          <w:rFonts w:ascii="Times New Roman"/>
        </w:rPr>
      </w:pPr>
      <w:r>
        <w:rPr>
          <w:rFonts w:ascii="Times New Roman"/>
        </w:rPr>
        <w:t xml:space="preserve"> 形状和尺寸</w:t>
      </w:r>
    </w:p>
    <w:p w14:paraId="5ADC15C8">
      <w:pPr>
        <w:pStyle w:val="24"/>
        <w:rPr>
          <w:rFonts w:ascii="Times New Roman"/>
        </w:rPr>
      </w:pPr>
      <w:r>
        <w:rPr>
          <w:rFonts w:ascii="Times New Roman"/>
        </w:rPr>
        <w:t>应对产品形状（如颗粒、块状等）以及尺寸进行规定。</w:t>
      </w:r>
    </w:p>
    <w:p w14:paraId="69E42A60">
      <w:pPr>
        <w:pStyle w:val="46"/>
        <w:numPr>
          <w:ilvl w:val="1"/>
          <w:numId w:val="2"/>
        </w:numPr>
        <w:spacing w:before="156" w:after="156" w:line="276" w:lineRule="auto"/>
        <w:rPr>
          <w:rFonts w:ascii="Times New Roman"/>
        </w:rPr>
      </w:pPr>
      <w:r>
        <w:rPr>
          <w:rFonts w:ascii="Times New Roman"/>
        </w:rPr>
        <w:t xml:space="preserve"> 孔隙率</w:t>
      </w:r>
    </w:p>
    <w:p w14:paraId="713A915E">
      <w:pPr>
        <w:pStyle w:val="24"/>
        <w:rPr>
          <w:rFonts w:ascii="Times New Roman"/>
        </w:rPr>
      </w:pPr>
      <w:bookmarkStart w:id="86" w:name="OLE_LINK13"/>
      <w:r>
        <w:rPr>
          <w:rFonts w:ascii="Times New Roman"/>
        </w:rPr>
        <w:t>应对产品的孔隙率进行规定</w:t>
      </w:r>
      <w:bookmarkEnd w:id="86"/>
      <w:r>
        <w:rPr>
          <w:rFonts w:ascii="Times New Roman"/>
        </w:rPr>
        <w:t>。</w:t>
      </w:r>
    </w:p>
    <w:p w14:paraId="6EE7C3F3">
      <w:pPr>
        <w:pStyle w:val="46"/>
        <w:numPr>
          <w:ilvl w:val="1"/>
          <w:numId w:val="2"/>
        </w:numPr>
        <w:spacing w:before="156" w:after="156" w:line="276" w:lineRule="auto"/>
        <w:rPr>
          <w:rFonts w:ascii="Times New Roman"/>
        </w:rPr>
      </w:pPr>
      <w:r>
        <w:rPr>
          <w:rFonts w:ascii="Times New Roman"/>
        </w:rPr>
        <w:t xml:space="preserve"> 孔径分布</w:t>
      </w:r>
    </w:p>
    <w:p w14:paraId="4C552468">
      <w:pPr>
        <w:pStyle w:val="24"/>
        <w:rPr>
          <w:rFonts w:ascii="Times New Roman"/>
        </w:rPr>
      </w:pPr>
      <w:r>
        <w:rPr>
          <w:rFonts w:ascii="Times New Roman"/>
        </w:rPr>
        <w:t>应对产品的孔径分布进行规定。</w:t>
      </w:r>
    </w:p>
    <w:p w14:paraId="19FD765F">
      <w:pPr>
        <w:pStyle w:val="46"/>
        <w:numPr>
          <w:ilvl w:val="1"/>
          <w:numId w:val="2"/>
        </w:numPr>
        <w:spacing w:before="156" w:after="156" w:line="276" w:lineRule="auto"/>
        <w:rPr>
          <w:rFonts w:ascii="Times New Roman"/>
        </w:rPr>
      </w:pPr>
      <w:r>
        <w:rPr>
          <w:rFonts w:ascii="Times New Roman"/>
        </w:rPr>
        <w:t xml:space="preserve"> 抗压强度</w:t>
      </w:r>
    </w:p>
    <w:p w14:paraId="0D8A3D13">
      <w:pPr>
        <w:pStyle w:val="24"/>
        <w:rPr>
          <w:rFonts w:ascii="Times New Roman"/>
        </w:rPr>
      </w:pPr>
      <w:r>
        <w:rPr>
          <w:rFonts w:ascii="Times New Roman"/>
        </w:rPr>
        <w:t>应</w:t>
      </w:r>
      <w:r>
        <w:rPr>
          <w:rFonts w:hint="eastAsia" w:ascii="Times New Roman"/>
        </w:rPr>
        <w:t>根据预期用途</w:t>
      </w:r>
      <w:r>
        <w:rPr>
          <w:rFonts w:ascii="Times New Roman"/>
        </w:rPr>
        <w:t>对块状产品的抗压强度进行规定。</w:t>
      </w:r>
    </w:p>
    <w:p w14:paraId="7B24002E">
      <w:pPr>
        <w:pStyle w:val="46"/>
        <w:numPr>
          <w:ilvl w:val="1"/>
          <w:numId w:val="2"/>
        </w:numPr>
        <w:spacing w:before="156" w:after="156" w:line="276" w:lineRule="auto"/>
        <w:rPr>
          <w:rFonts w:ascii="Times New Roman"/>
        </w:rPr>
      </w:pPr>
      <w:r>
        <w:rPr>
          <w:rFonts w:ascii="Times New Roman"/>
        </w:rPr>
        <w:t xml:space="preserve"> 丝素蛋白鉴别</w:t>
      </w:r>
    </w:p>
    <w:p w14:paraId="2F27EE95">
      <w:pPr>
        <w:pStyle w:val="24"/>
        <w:rPr>
          <w:rFonts w:ascii="Times New Roman"/>
        </w:rPr>
      </w:pPr>
      <w:r>
        <w:rPr>
          <w:rFonts w:ascii="Times New Roman"/>
        </w:rPr>
        <w:t>红外光谱实测谱带应1700cm</w:t>
      </w:r>
      <w:r>
        <w:rPr>
          <w:rFonts w:ascii="Times New Roman"/>
          <w:vertAlign w:val="superscript"/>
        </w:rPr>
        <w:t>-1</w:t>
      </w:r>
      <w:r>
        <w:rPr>
          <w:rFonts w:ascii="Times New Roman"/>
        </w:rPr>
        <w:t>~1600 cm</w:t>
      </w:r>
      <w:r>
        <w:rPr>
          <w:rFonts w:ascii="Times New Roman"/>
          <w:vertAlign w:val="superscript"/>
        </w:rPr>
        <w:t>-1</w:t>
      </w:r>
      <w:r>
        <w:rPr>
          <w:rFonts w:ascii="Times New Roman"/>
        </w:rPr>
        <w:t>，1590 cm</w:t>
      </w:r>
      <w:r>
        <w:rPr>
          <w:rFonts w:ascii="Times New Roman"/>
          <w:vertAlign w:val="superscript"/>
        </w:rPr>
        <w:t>-1</w:t>
      </w:r>
      <w:r>
        <w:rPr>
          <w:rFonts w:ascii="Times New Roman"/>
        </w:rPr>
        <w:t>~1460 cm</w:t>
      </w:r>
      <w:r>
        <w:rPr>
          <w:rFonts w:ascii="Times New Roman"/>
          <w:vertAlign w:val="superscript"/>
        </w:rPr>
        <w:t>-1</w:t>
      </w:r>
      <w:r>
        <w:rPr>
          <w:rFonts w:ascii="Times New Roman"/>
        </w:rPr>
        <w:t>以及1280 cm</w:t>
      </w:r>
      <w:r>
        <w:rPr>
          <w:rFonts w:ascii="Times New Roman"/>
          <w:vertAlign w:val="superscript"/>
        </w:rPr>
        <w:t>-1</w:t>
      </w:r>
      <w:r>
        <w:rPr>
          <w:rFonts w:ascii="Times New Roman"/>
        </w:rPr>
        <w:t xml:space="preserve"> ~1190cm</w:t>
      </w:r>
      <w:r>
        <w:rPr>
          <w:rFonts w:ascii="Times New Roman"/>
          <w:vertAlign w:val="superscript"/>
        </w:rPr>
        <w:t>-1</w:t>
      </w:r>
      <w:r>
        <w:rPr>
          <w:rFonts w:ascii="Times New Roman"/>
        </w:rPr>
        <w:t>处存在特征峰。</w:t>
      </w:r>
    </w:p>
    <w:p w14:paraId="22A21F5B">
      <w:pPr>
        <w:pStyle w:val="46"/>
        <w:numPr>
          <w:ilvl w:val="1"/>
          <w:numId w:val="2"/>
        </w:numPr>
        <w:spacing w:before="156" w:after="156" w:line="276" w:lineRule="auto"/>
        <w:rPr>
          <w:rFonts w:ascii="Times New Roman"/>
        </w:rPr>
      </w:pPr>
      <w:r>
        <w:rPr>
          <w:rFonts w:ascii="Times New Roman"/>
        </w:rPr>
        <w:t xml:space="preserve"> 蛋白质含量</w:t>
      </w:r>
    </w:p>
    <w:p w14:paraId="4099A1DA">
      <w:pPr>
        <w:pStyle w:val="24"/>
        <w:rPr>
          <w:rFonts w:ascii="Times New Roman"/>
        </w:rPr>
      </w:pPr>
      <w:r>
        <w:rPr>
          <w:rFonts w:ascii="Times New Roman"/>
        </w:rPr>
        <w:t>应≥96 %（</w:t>
      </w:r>
      <w:r>
        <w:rPr>
          <w:rFonts w:hint="eastAsia" w:ascii="Times New Roman"/>
        </w:rPr>
        <w:t>w/w</w:t>
      </w:r>
      <w:r>
        <w:rPr>
          <w:rFonts w:ascii="Times New Roman"/>
        </w:rPr>
        <w:t>）。</w:t>
      </w:r>
    </w:p>
    <w:p w14:paraId="60E30016">
      <w:pPr>
        <w:pStyle w:val="24"/>
        <w:rPr>
          <w:rFonts w:ascii="Times New Roman"/>
        </w:rPr>
      </w:pPr>
      <w:r>
        <w:rPr>
          <w:rFonts w:ascii="Times New Roman"/>
        </w:rPr>
        <w:t>注：若产品组成成分含有除丝素蛋白外的其他成分，制造商应建立蛋白质含量的指标要求及试验方法。</w:t>
      </w:r>
    </w:p>
    <w:p w14:paraId="41ECDFB7">
      <w:pPr>
        <w:pStyle w:val="46"/>
        <w:numPr>
          <w:ilvl w:val="1"/>
          <w:numId w:val="2"/>
        </w:numPr>
        <w:spacing w:before="156" w:after="156" w:line="276" w:lineRule="auto"/>
        <w:rPr>
          <w:rFonts w:ascii="Times New Roman"/>
        </w:rPr>
      </w:pPr>
      <w:r>
        <w:rPr>
          <w:rFonts w:ascii="Times New Roman"/>
        </w:rPr>
        <w:t xml:space="preserve"> 氨基酸分析</w:t>
      </w:r>
      <w:bookmarkStart w:id="110" w:name="_GoBack"/>
      <w:bookmarkEnd w:id="110"/>
    </w:p>
    <w:p w14:paraId="374F3A8F">
      <w:pPr>
        <w:pStyle w:val="24"/>
        <w:rPr>
          <w:rFonts w:ascii="Times New Roman"/>
        </w:rPr>
      </w:pPr>
      <w:r>
        <w:rPr>
          <w:rFonts w:ascii="Times New Roman"/>
        </w:rPr>
        <w:t>应对产品的氨基酸含量进行规定</w:t>
      </w:r>
      <w:r>
        <w:rPr>
          <w:rFonts w:hint="eastAsia" w:ascii="Times New Roman"/>
        </w:rPr>
        <w:t>，其中</w:t>
      </w:r>
      <w:r>
        <w:rPr>
          <w:rFonts w:ascii="Times New Roman"/>
        </w:rPr>
        <w:t>特征氨基酸甘氨酸、丝氨酸、丙氨酸总含量在总氨基酸含量中的占比应不小于76 %（质量分数）</w:t>
      </w:r>
    </w:p>
    <w:p w14:paraId="758659EF">
      <w:pPr>
        <w:pStyle w:val="24"/>
        <w:rPr>
          <w:rFonts w:ascii="Times New Roman"/>
        </w:rPr>
      </w:pPr>
      <w:r>
        <w:rPr>
          <w:rFonts w:ascii="Times New Roman"/>
        </w:rPr>
        <w:t>注：若产品组成成分含有除丝素蛋白外的其他成分，制造商应建立氨基酸含量的指标要求及试验方法。</w:t>
      </w:r>
    </w:p>
    <w:p w14:paraId="7124E708">
      <w:pPr>
        <w:pStyle w:val="46"/>
        <w:numPr>
          <w:ilvl w:val="1"/>
          <w:numId w:val="2"/>
        </w:numPr>
        <w:spacing w:before="156" w:after="156" w:line="276" w:lineRule="auto"/>
        <w:rPr>
          <w:rFonts w:ascii="Times New Roman"/>
        </w:rPr>
      </w:pPr>
      <w:r>
        <w:rPr>
          <w:rFonts w:ascii="Times New Roman"/>
        </w:rPr>
        <w:t xml:space="preserve"> 酸碱度</w:t>
      </w:r>
    </w:p>
    <w:p w14:paraId="2FC00070">
      <w:pPr>
        <w:pStyle w:val="24"/>
        <w:rPr>
          <w:rFonts w:ascii="Times New Roman"/>
        </w:rPr>
      </w:pPr>
      <w:r>
        <w:rPr>
          <w:rFonts w:ascii="Times New Roman"/>
        </w:rPr>
        <w:t>检验液与空白液的pH值之差应≤1.5。</w:t>
      </w:r>
    </w:p>
    <w:p w14:paraId="73DD9D21">
      <w:pPr>
        <w:pStyle w:val="46"/>
        <w:numPr>
          <w:ilvl w:val="1"/>
          <w:numId w:val="2"/>
        </w:numPr>
        <w:spacing w:before="156" w:after="156" w:line="276" w:lineRule="auto"/>
        <w:rPr>
          <w:rFonts w:ascii="Times New Roman"/>
        </w:rPr>
      </w:pPr>
      <w:r>
        <w:rPr>
          <w:rFonts w:ascii="Times New Roman"/>
        </w:rPr>
        <w:t xml:space="preserve"> 炽灼残渣</w:t>
      </w:r>
    </w:p>
    <w:p w14:paraId="17E1F007">
      <w:pPr>
        <w:pStyle w:val="24"/>
        <w:rPr>
          <w:rFonts w:ascii="Times New Roman"/>
        </w:rPr>
      </w:pPr>
      <w:r>
        <w:rPr>
          <w:rFonts w:ascii="Times New Roman"/>
        </w:rPr>
        <w:t>应≤1.5%。</w:t>
      </w:r>
    </w:p>
    <w:p w14:paraId="51C20BE4">
      <w:pPr>
        <w:pStyle w:val="46"/>
        <w:numPr>
          <w:ilvl w:val="1"/>
          <w:numId w:val="2"/>
        </w:numPr>
        <w:spacing w:before="156" w:after="156" w:line="276" w:lineRule="auto"/>
        <w:rPr>
          <w:rFonts w:ascii="Times New Roman"/>
        </w:rPr>
      </w:pPr>
      <w:r>
        <w:rPr>
          <w:rFonts w:ascii="Times New Roman"/>
        </w:rPr>
        <w:t xml:space="preserve"> 干燥失重</w:t>
      </w:r>
    </w:p>
    <w:p w14:paraId="1C4F1162">
      <w:pPr>
        <w:pStyle w:val="24"/>
        <w:rPr>
          <w:rFonts w:ascii="Times New Roman"/>
        </w:rPr>
      </w:pPr>
      <w:r>
        <w:rPr>
          <w:rFonts w:ascii="Times New Roman"/>
        </w:rPr>
        <w:t>应≤11%。</w:t>
      </w:r>
    </w:p>
    <w:p w14:paraId="205A9121">
      <w:pPr>
        <w:pStyle w:val="46"/>
        <w:numPr>
          <w:ilvl w:val="1"/>
          <w:numId w:val="2"/>
        </w:numPr>
        <w:spacing w:before="156" w:after="156" w:line="276" w:lineRule="auto"/>
        <w:rPr>
          <w:rFonts w:ascii="Times New Roman"/>
        </w:rPr>
      </w:pPr>
      <w:r>
        <w:rPr>
          <w:rFonts w:ascii="Times New Roman"/>
        </w:rPr>
        <w:t xml:space="preserve"> 重金属</w:t>
      </w:r>
    </w:p>
    <w:p w14:paraId="4D7E5F20">
      <w:pPr>
        <w:pStyle w:val="24"/>
        <w:rPr>
          <w:rFonts w:ascii="Times New Roman"/>
        </w:rPr>
      </w:pPr>
      <w:r>
        <w:rPr>
          <w:rFonts w:ascii="Times New Roman"/>
        </w:rPr>
        <w:t>重金属总含量（以Pb计）应≤10</w:t>
      </w:r>
      <w:r>
        <w:rPr>
          <w:rFonts w:hint="eastAsia" w:ascii="Times New Roman"/>
        </w:rPr>
        <w:t xml:space="preserve"> </w:t>
      </w:r>
      <w:r>
        <w:rPr>
          <w:rFonts w:ascii="Times New Roman"/>
        </w:rPr>
        <w:t>μg/g。</w:t>
      </w:r>
    </w:p>
    <w:p w14:paraId="04143B0D">
      <w:pPr>
        <w:pStyle w:val="46"/>
        <w:numPr>
          <w:ilvl w:val="1"/>
          <w:numId w:val="2"/>
        </w:numPr>
        <w:spacing w:before="156" w:after="156" w:line="276" w:lineRule="auto"/>
        <w:rPr>
          <w:rFonts w:ascii="Times New Roman"/>
        </w:rPr>
      </w:pPr>
      <w:r>
        <w:rPr>
          <w:rFonts w:ascii="Times New Roman"/>
        </w:rPr>
        <w:t xml:space="preserve"> 微量元素</w:t>
      </w:r>
    </w:p>
    <w:p w14:paraId="172A0ED5">
      <w:pPr>
        <w:pStyle w:val="24"/>
        <w:rPr>
          <w:rFonts w:ascii="Times New Roman"/>
        </w:rPr>
      </w:pPr>
      <w:r>
        <w:rPr>
          <w:rFonts w:ascii="Times New Roman"/>
        </w:rPr>
        <w:t>砷含量≤1</w:t>
      </w:r>
      <w:r>
        <w:rPr>
          <w:rFonts w:hint="eastAsia" w:ascii="Times New Roman"/>
        </w:rPr>
        <w:t xml:space="preserve"> </w:t>
      </w:r>
      <w:r>
        <w:rPr>
          <w:rFonts w:ascii="Times New Roman"/>
        </w:rPr>
        <w:t>μg/g；铬、镉、铜、铁、汞、镍、铅、钼总量应≤50</w:t>
      </w:r>
      <w:r>
        <w:rPr>
          <w:rFonts w:hint="eastAsia" w:ascii="Times New Roman"/>
        </w:rPr>
        <w:t xml:space="preserve"> </w:t>
      </w:r>
      <w:r>
        <w:rPr>
          <w:rFonts w:ascii="Times New Roman"/>
        </w:rPr>
        <w:t>μg/g。</w:t>
      </w:r>
    </w:p>
    <w:p w14:paraId="101A3C38">
      <w:pPr>
        <w:pStyle w:val="46"/>
        <w:numPr>
          <w:ilvl w:val="1"/>
          <w:numId w:val="2"/>
        </w:numPr>
        <w:spacing w:before="156" w:after="156" w:line="276" w:lineRule="auto"/>
        <w:rPr>
          <w:rFonts w:ascii="Times New Roman"/>
        </w:rPr>
      </w:pPr>
      <w:r>
        <w:rPr>
          <w:rFonts w:ascii="Times New Roman"/>
        </w:rPr>
        <w:t xml:space="preserve"> 试剂残留</w:t>
      </w:r>
    </w:p>
    <w:p w14:paraId="6BCDDD44">
      <w:pPr>
        <w:pStyle w:val="24"/>
        <w:numPr>
          <w:ilvl w:val="0"/>
          <w:numId w:val="13"/>
        </w:numPr>
        <w:spacing w:before="156" w:beforeLines="50" w:after="156" w:afterLines="50" w:line="276" w:lineRule="auto"/>
        <w:ind w:firstLineChars="0"/>
        <w:jc w:val="left"/>
        <w:rPr>
          <w:rFonts w:ascii="Times New Roman" w:eastAsia="黑体"/>
        </w:rPr>
      </w:pPr>
      <w:r>
        <w:rPr>
          <w:rFonts w:ascii="Times New Roman"/>
        </w:rPr>
        <w:t xml:space="preserve"> </w:t>
      </w:r>
      <w:r>
        <w:rPr>
          <w:rFonts w:ascii="Times New Roman" w:eastAsia="黑体"/>
        </w:rPr>
        <w:t>概述</w:t>
      </w:r>
    </w:p>
    <w:p w14:paraId="49F8C0E8">
      <w:pPr>
        <w:pStyle w:val="24"/>
        <w:rPr>
          <w:rFonts w:ascii="Times New Roman"/>
        </w:rPr>
      </w:pPr>
      <w:r>
        <w:rPr>
          <w:rFonts w:ascii="Times New Roman"/>
        </w:rPr>
        <w:t>应对工艺中使用的试剂（如碳酸钠、碳酸氢钠、溴化锂、氯化钙等）进行残留检测，并根据其潜在风险进行限量控制。</w:t>
      </w:r>
    </w:p>
    <w:p w14:paraId="71F15636">
      <w:pPr>
        <w:pStyle w:val="24"/>
        <w:numPr>
          <w:ilvl w:val="0"/>
          <w:numId w:val="13"/>
        </w:numPr>
        <w:spacing w:before="156" w:beforeLines="50" w:after="156" w:afterLines="50" w:line="276" w:lineRule="auto"/>
        <w:ind w:firstLineChars="0"/>
        <w:jc w:val="left"/>
        <w:rPr>
          <w:rFonts w:ascii="Times New Roman"/>
        </w:rPr>
      </w:pPr>
      <w:r>
        <w:rPr>
          <w:rFonts w:ascii="Times New Roman"/>
        </w:rPr>
        <w:t xml:space="preserve"> </w:t>
      </w:r>
      <w:r>
        <w:rPr>
          <w:rFonts w:ascii="Times New Roman" w:eastAsia="黑体"/>
        </w:rPr>
        <w:t>碳酸钠/碳酸氢钠残留</w:t>
      </w:r>
    </w:p>
    <w:p w14:paraId="5E7C9F01">
      <w:pPr>
        <w:pStyle w:val="24"/>
        <w:rPr>
          <w:rFonts w:ascii="Times New Roman"/>
        </w:rPr>
      </w:pPr>
      <w:r>
        <w:rPr>
          <w:rFonts w:ascii="Times New Roman"/>
        </w:rPr>
        <w:t>若生产工艺中使用碳酸钠和/或碳酸氢钠脱胶得到丝素蛋白纤维，其残留量应</w:t>
      </w:r>
      <w:r>
        <w:rPr>
          <w:rFonts w:hint="eastAsia" w:ascii="Times New Roman"/>
        </w:rPr>
        <w:t>分别</w:t>
      </w:r>
      <w:r>
        <w:rPr>
          <w:rFonts w:ascii="Times New Roman"/>
        </w:rPr>
        <w:t>≤5 mg/g。</w:t>
      </w:r>
    </w:p>
    <w:p w14:paraId="13C7A714">
      <w:pPr>
        <w:pStyle w:val="24"/>
        <w:numPr>
          <w:ilvl w:val="0"/>
          <w:numId w:val="13"/>
        </w:numPr>
        <w:spacing w:before="156" w:beforeLines="50" w:after="156" w:afterLines="50" w:line="276" w:lineRule="auto"/>
        <w:ind w:firstLineChars="0"/>
        <w:jc w:val="left"/>
        <w:rPr>
          <w:rFonts w:ascii="Times New Roman" w:eastAsia="黑体"/>
        </w:rPr>
      </w:pPr>
      <w:r>
        <w:rPr>
          <w:rFonts w:ascii="Times New Roman" w:eastAsia="黑体"/>
        </w:rPr>
        <w:t xml:space="preserve"> 溴化锂残留</w:t>
      </w:r>
    </w:p>
    <w:p w14:paraId="769380F8">
      <w:pPr>
        <w:pStyle w:val="24"/>
        <w:rPr>
          <w:rFonts w:ascii="Times New Roman"/>
        </w:rPr>
      </w:pPr>
      <w:r>
        <w:rPr>
          <w:rFonts w:ascii="Times New Roman"/>
        </w:rPr>
        <w:t>若生产工艺中使用溴化锂溶解丝素蛋白纤维，</w:t>
      </w:r>
      <w:r>
        <w:rPr>
          <w:rFonts w:hint="eastAsia" w:ascii="Times New Roman"/>
        </w:rPr>
        <w:t>其</w:t>
      </w:r>
      <w:r>
        <w:rPr>
          <w:rFonts w:ascii="Times New Roman"/>
        </w:rPr>
        <w:t>溴离子含量应≤80 mg/g，锂离子含量应≤2 mg/g。</w:t>
      </w:r>
    </w:p>
    <w:p w14:paraId="32B56946">
      <w:pPr>
        <w:pStyle w:val="46"/>
        <w:numPr>
          <w:ilvl w:val="1"/>
          <w:numId w:val="2"/>
        </w:numPr>
        <w:spacing w:before="156" w:after="156" w:line="276" w:lineRule="auto"/>
        <w:rPr>
          <w:rFonts w:ascii="Times New Roman"/>
        </w:rPr>
      </w:pPr>
      <w:r>
        <w:rPr>
          <w:rFonts w:ascii="Times New Roman"/>
        </w:rPr>
        <w:t xml:space="preserve"> 无菌</w:t>
      </w:r>
    </w:p>
    <w:p w14:paraId="74947705">
      <w:pPr>
        <w:pStyle w:val="24"/>
        <w:rPr>
          <w:rFonts w:ascii="Times New Roman"/>
        </w:rPr>
      </w:pPr>
      <w:r>
        <w:rPr>
          <w:rFonts w:ascii="Times New Roman"/>
        </w:rPr>
        <w:t>无菌交付的产品应经过一个有效的确认过的灭菌过程，使产品达到无菌。</w:t>
      </w:r>
    </w:p>
    <w:p w14:paraId="7EA6FDCA">
      <w:pPr>
        <w:pStyle w:val="46"/>
        <w:numPr>
          <w:ilvl w:val="1"/>
          <w:numId w:val="2"/>
        </w:numPr>
        <w:spacing w:before="156" w:after="156" w:line="276" w:lineRule="auto"/>
        <w:rPr>
          <w:rFonts w:ascii="Times New Roman"/>
        </w:rPr>
      </w:pPr>
      <w:r>
        <w:rPr>
          <w:rFonts w:ascii="Times New Roman"/>
        </w:rPr>
        <w:t xml:space="preserve"> 细菌内毒素</w:t>
      </w:r>
    </w:p>
    <w:p w14:paraId="602AA2D4">
      <w:pPr>
        <w:pStyle w:val="24"/>
        <w:rPr>
          <w:rFonts w:ascii="Times New Roman"/>
        </w:rPr>
      </w:pPr>
      <w:r>
        <w:rPr>
          <w:rFonts w:ascii="Times New Roman"/>
        </w:rPr>
        <w:t>应不超过20</w:t>
      </w:r>
      <w:r>
        <w:rPr>
          <w:rFonts w:hint="eastAsia" w:ascii="Times New Roman"/>
        </w:rPr>
        <w:t xml:space="preserve"> </w:t>
      </w:r>
      <w:r>
        <w:rPr>
          <w:rFonts w:ascii="Times New Roman"/>
        </w:rPr>
        <w:t>EU/件。</w:t>
      </w:r>
    </w:p>
    <w:p w14:paraId="1DCE7857">
      <w:pPr>
        <w:pStyle w:val="46"/>
        <w:numPr>
          <w:ilvl w:val="1"/>
          <w:numId w:val="2"/>
        </w:numPr>
        <w:spacing w:before="156" w:after="156" w:line="276" w:lineRule="auto"/>
        <w:rPr>
          <w:rFonts w:ascii="Times New Roman"/>
          <w:spacing w:val="16"/>
        </w:rPr>
      </w:pPr>
      <w:r>
        <w:rPr>
          <w:rFonts w:ascii="Times New Roman"/>
          <w:spacing w:val="16"/>
        </w:rPr>
        <w:t xml:space="preserve"> 体外</w:t>
      </w:r>
      <w:r>
        <w:rPr>
          <w:rFonts w:ascii="Times New Roman"/>
        </w:rPr>
        <w:t>降解性</w:t>
      </w:r>
      <w:r>
        <w:rPr>
          <w:rFonts w:ascii="Times New Roman"/>
          <w:spacing w:val="16"/>
        </w:rPr>
        <w:t>能</w:t>
      </w:r>
    </w:p>
    <w:p w14:paraId="14EB711B">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可吸收丝素蛋白骨修复材料应进行体外降解试验，满足产品应用设计的相关要求。</w:t>
      </w:r>
    </w:p>
    <w:p w14:paraId="275EE7EF">
      <w:pPr>
        <w:pStyle w:val="46"/>
        <w:numPr>
          <w:ilvl w:val="1"/>
          <w:numId w:val="2"/>
        </w:numPr>
        <w:spacing w:before="156" w:after="156" w:line="276" w:lineRule="auto"/>
        <w:rPr>
          <w:rFonts w:ascii="Times New Roman"/>
          <w:spacing w:val="16"/>
        </w:rPr>
      </w:pPr>
      <w:r>
        <w:rPr>
          <w:rFonts w:ascii="Times New Roman"/>
          <w:spacing w:val="16"/>
        </w:rPr>
        <w:t xml:space="preserve"> </w:t>
      </w:r>
      <w:r>
        <w:rPr>
          <w:rFonts w:ascii="Times New Roman"/>
        </w:rPr>
        <w:t>生物学</w:t>
      </w:r>
      <w:r>
        <w:rPr>
          <w:rFonts w:ascii="Times New Roman"/>
          <w:spacing w:val="16"/>
        </w:rPr>
        <w:t>评价</w:t>
      </w:r>
    </w:p>
    <w:p w14:paraId="7EF48E77">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应按照GB/T 16886系列标准的规定进行生物学评价。</w:t>
      </w:r>
    </w:p>
    <w:p w14:paraId="070A78D9">
      <w:pPr>
        <w:pStyle w:val="46"/>
        <w:numPr>
          <w:ilvl w:val="1"/>
          <w:numId w:val="2"/>
        </w:numPr>
        <w:spacing w:before="156" w:after="156" w:line="276" w:lineRule="auto"/>
        <w:rPr>
          <w:rFonts w:ascii="Times New Roman"/>
        </w:rPr>
      </w:pPr>
      <w:r>
        <w:rPr>
          <w:rFonts w:ascii="Times New Roman"/>
        </w:rPr>
        <w:t xml:space="preserve"> 动物源材料安全性评价</w:t>
      </w:r>
    </w:p>
    <w:p w14:paraId="1AC40061">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产品原材料丝素蛋白主要从蚕丝中提取制备，因其具有潜在的生物安全风险，应当提供相应生物安全性研究资料，可参考《动物源性医疗器械注册技术审查指导原则》和YY/T 0771及GB/T 44353（ISO 22442）系列标准开展相关研究。</w:t>
      </w:r>
    </w:p>
    <w:p w14:paraId="6C4F38D1">
      <w:pPr>
        <w:pStyle w:val="49"/>
        <w:spacing w:before="312" w:after="312"/>
        <w:ind w:left="0"/>
        <w:rPr>
          <w:rFonts w:ascii="Times New Roman"/>
        </w:rPr>
      </w:pPr>
      <w:bookmarkStart w:id="87" w:name="_Toc237247732"/>
      <w:r>
        <w:rPr>
          <w:rFonts w:ascii="Times New Roman"/>
        </w:rPr>
        <w:t>试验方法</w:t>
      </w:r>
      <w:bookmarkEnd w:id="87"/>
    </w:p>
    <w:p w14:paraId="364390E1">
      <w:pPr>
        <w:pStyle w:val="46"/>
        <w:numPr>
          <w:ilvl w:val="0"/>
          <w:numId w:val="14"/>
        </w:numPr>
        <w:spacing w:before="156" w:after="156" w:line="276" w:lineRule="auto"/>
        <w:rPr>
          <w:rFonts w:ascii="Times New Roman"/>
        </w:rPr>
      </w:pPr>
      <w:r>
        <w:rPr>
          <w:rFonts w:ascii="Times New Roman"/>
        </w:rPr>
        <w:t xml:space="preserve"> 材料</w:t>
      </w:r>
    </w:p>
    <w:p w14:paraId="0D024CD4">
      <w:pPr>
        <w:pStyle w:val="31"/>
        <w:tabs>
          <w:tab w:val="center" w:pos="4201"/>
          <w:tab w:val="right" w:leader="dot" w:pos="9298"/>
        </w:tabs>
        <w:autoSpaceDE w:val="0"/>
        <w:autoSpaceDN w:val="0"/>
        <w:spacing w:before="0" w:beforeAutospacing="0" w:after="0" w:afterAutospacing="0" w:line="273" w:lineRule="auto"/>
        <w:ind w:firstLine="420" w:firstLineChars="200"/>
        <w:jc w:val="both"/>
        <w:rPr>
          <w:rFonts w:ascii="Times New Roman" w:hAnsi="Times New Roman" w:cs="Times New Roman"/>
        </w:rPr>
      </w:pPr>
      <w:r>
        <w:rPr>
          <w:rFonts w:ascii="Times New Roman" w:hAnsi="Times New Roman" w:cs="Times New Roman"/>
          <w:color w:val="auto"/>
          <w:sz w:val="21"/>
        </w:rPr>
        <w:t>按照YY/T 1950-2024中规定的方法检验。</w:t>
      </w:r>
    </w:p>
    <w:p w14:paraId="2F042E56">
      <w:pPr>
        <w:pStyle w:val="46"/>
        <w:numPr>
          <w:ilvl w:val="0"/>
          <w:numId w:val="14"/>
        </w:numPr>
        <w:spacing w:before="156" w:after="156" w:line="276" w:lineRule="auto"/>
        <w:rPr>
          <w:rFonts w:ascii="Times New Roman"/>
        </w:rPr>
      </w:pPr>
      <w:r>
        <w:rPr>
          <w:rFonts w:ascii="Times New Roman"/>
        </w:rPr>
        <w:t xml:space="preserve"> 外观</w:t>
      </w:r>
    </w:p>
    <w:p w14:paraId="4E727328">
      <w:pPr>
        <w:pStyle w:val="24"/>
        <w:rPr>
          <w:rFonts w:ascii="Times New Roman"/>
        </w:rPr>
      </w:pPr>
      <w:r>
        <w:rPr>
          <w:rFonts w:ascii="Times New Roman"/>
        </w:rPr>
        <w:t>正常或矫正视力目视检查。</w:t>
      </w:r>
    </w:p>
    <w:p w14:paraId="17B89E2D">
      <w:pPr>
        <w:pStyle w:val="46"/>
        <w:numPr>
          <w:ilvl w:val="0"/>
          <w:numId w:val="14"/>
        </w:numPr>
        <w:spacing w:before="156" w:after="156" w:line="276" w:lineRule="auto"/>
        <w:rPr>
          <w:rFonts w:ascii="Times New Roman"/>
        </w:rPr>
      </w:pPr>
      <w:r>
        <w:rPr>
          <w:rFonts w:ascii="Times New Roman"/>
        </w:rPr>
        <w:t xml:space="preserve"> 形状和尺寸</w:t>
      </w:r>
    </w:p>
    <w:p w14:paraId="2098D341">
      <w:pPr>
        <w:pStyle w:val="24"/>
        <w:rPr>
          <w:rFonts w:ascii="Times New Roman"/>
        </w:rPr>
      </w:pPr>
      <w:r>
        <w:rPr>
          <w:rFonts w:ascii="Times New Roman"/>
        </w:rPr>
        <w:t>颗粒</w:t>
      </w:r>
      <w:r>
        <w:rPr>
          <w:rFonts w:hint="eastAsia" w:ascii="Times New Roman"/>
        </w:rPr>
        <w:t>粒径</w:t>
      </w:r>
      <w:r>
        <w:rPr>
          <w:rFonts w:ascii="Times New Roman"/>
        </w:rPr>
        <w:t>尺寸可参考《中华人民共和国药典》（2025版）</w:t>
      </w:r>
      <w:r>
        <w:rPr>
          <w:rFonts w:hint="eastAsia" w:ascii="Times New Roman"/>
        </w:rPr>
        <w:t>四</w:t>
      </w:r>
      <w:r>
        <w:rPr>
          <w:rFonts w:ascii="Times New Roman"/>
        </w:rPr>
        <w:t>部</w:t>
      </w:r>
      <w:r>
        <w:rPr>
          <w:rFonts w:hint="eastAsia" w:ascii="Times New Roman"/>
        </w:rPr>
        <w:t xml:space="preserve"> 通则0982 </w:t>
      </w:r>
      <w:r>
        <w:rPr>
          <w:rFonts w:ascii="Times New Roman"/>
        </w:rPr>
        <w:t>粒度和粒度分布测定法</w:t>
      </w:r>
      <w:r>
        <w:rPr>
          <w:rFonts w:hint="eastAsia" w:ascii="Times New Roman"/>
        </w:rPr>
        <w:t xml:space="preserve"> 筛分法进行检验</w:t>
      </w:r>
      <w:r>
        <w:rPr>
          <w:rFonts w:ascii="Times New Roman"/>
        </w:rPr>
        <w:t>。</w:t>
      </w:r>
    </w:p>
    <w:p w14:paraId="21ED3337">
      <w:pPr>
        <w:pStyle w:val="24"/>
        <w:rPr>
          <w:rFonts w:ascii="Times New Roman"/>
        </w:rPr>
      </w:pPr>
      <w:r>
        <w:rPr>
          <w:rFonts w:ascii="Times New Roman"/>
        </w:rPr>
        <w:t>其他尺寸用通用量具进行检验。</w:t>
      </w:r>
    </w:p>
    <w:p w14:paraId="537F1573">
      <w:pPr>
        <w:pStyle w:val="46"/>
        <w:numPr>
          <w:ilvl w:val="0"/>
          <w:numId w:val="14"/>
        </w:numPr>
        <w:spacing w:before="156" w:after="156" w:line="276" w:lineRule="auto"/>
        <w:rPr>
          <w:rFonts w:ascii="Times New Roman"/>
        </w:rPr>
      </w:pPr>
      <w:r>
        <w:rPr>
          <w:rFonts w:ascii="Times New Roman"/>
        </w:rPr>
        <w:t xml:space="preserve"> 孔隙率</w:t>
      </w:r>
    </w:p>
    <w:p w14:paraId="4D66C60D">
      <w:pPr>
        <w:pStyle w:val="24"/>
        <w:rPr>
          <w:rFonts w:ascii="Times New Roman"/>
        </w:rPr>
      </w:pPr>
      <w:r>
        <w:rPr>
          <w:rFonts w:ascii="Times New Roman"/>
        </w:rPr>
        <w:t>按照YY/T 1982-2025中7.1的规定，选择合适的方法进行检验。</w:t>
      </w:r>
    </w:p>
    <w:p w14:paraId="7AC8C26D">
      <w:pPr>
        <w:pStyle w:val="46"/>
        <w:numPr>
          <w:ilvl w:val="0"/>
          <w:numId w:val="14"/>
        </w:numPr>
        <w:spacing w:before="156" w:after="156" w:line="276" w:lineRule="auto"/>
        <w:rPr>
          <w:rFonts w:ascii="Times New Roman"/>
        </w:rPr>
      </w:pPr>
      <w:r>
        <w:rPr>
          <w:rFonts w:ascii="Times New Roman"/>
        </w:rPr>
        <w:t xml:space="preserve"> 孔径分布</w:t>
      </w:r>
    </w:p>
    <w:p w14:paraId="02D7CA69">
      <w:pPr>
        <w:pStyle w:val="24"/>
        <w:rPr>
          <w:rFonts w:ascii="Times New Roman"/>
        </w:rPr>
      </w:pPr>
      <w:r>
        <w:rPr>
          <w:rFonts w:ascii="Times New Roman"/>
        </w:rPr>
        <w:t>按照YY/T 1982-2025中7.2的规定，选择合适的方法进行检验。</w:t>
      </w:r>
    </w:p>
    <w:p w14:paraId="618364E6">
      <w:pPr>
        <w:pStyle w:val="46"/>
        <w:numPr>
          <w:ilvl w:val="0"/>
          <w:numId w:val="14"/>
        </w:numPr>
        <w:spacing w:before="156" w:after="156" w:line="276" w:lineRule="auto"/>
        <w:rPr>
          <w:rFonts w:ascii="Times New Roman"/>
        </w:rPr>
      </w:pPr>
      <w:r>
        <w:rPr>
          <w:rFonts w:ascii="Times New Roman"/>
        </w:rPr>
        <w:t xml:space="preserve"> 抗压强度</w:t>
      </w:r>
    </w:p>
    <w:p w14:paraId="08C2A5FF">
      <w:pPr>
        <w:pStyle w:val="24"/>
        <w:rPr>
          <w:rFonts w:ascii="Times New Roman"/>
        </w:rPr>
      </w:pPr>
      <w:r>
        <w:rPr>
          <w:rFonts w:ascii="Times New Roman"/>
        </w:rPr>
        <w:t>按照附录A规定的方法进行检验。</w:t>
      </w:r>
    </w:p>
    <w:p w14:paraId="56B867FD">
      <w:pPr>
        <w:pStyle w:val="46"/>
        <w:numPr>
          <w:ilvl w:val="0"/>
          <w:numId w:val="14"/>
        </w:numPr>
        <w:spacing w:before="156" w:after="156" w:line="276" w:lineRule="auto"/>
        <w:rPr>
          <w:rFonts w:ascii="Times New Roman"/>
        </w:rPr>
      </w:pPr>
      <w:r>
        <w:rPr>
          <w:rFonts w:ascii="Times New Roman"/>
        </w:rPr>
        <w:t xml:space="preserve"> 丝素蛋白鉴别</w:t>
      </w:r>
    </w:p>
    <w:p w14:paraId="7B7A42E7">
      <w:pPr>
        <w:pStyle w:val="24"/>
        <w:rPr>
          <w:rFonts w:ascii="Times New Roman"/>
        </w:rPr>
      </w:pPr>
      <w:r>
        <w:rPr>
          <w:rFonts w:ascii="Times New Roman"/>
        </w:rPr>
        <w:t>按照《中华人民共和国药典》（2025版）四部 通则0402红外分光光度法进行检验。</w:t>
      </w:r>
    </w:p>
    <w:p w14:paraId="24B03637">
      <w:pPr>
        <w:pStyle w:val="46"/>
        <w:numPr>
          <w:ilvl w:val="0"/>
          <w:numId w:val="14"/>
        </w:numPr>
        <w:spacing w:before="156" w:after="156" w:line="276" w:lineRule="auto"/>
        <w:rPr>
          <w:rFonts w:ascii="Times New Roman"/>
        </w:rPr>
      </w:pPr>
      <w:r>
        <w:rPr>
          <w:rFonts w:ascii="Times New Roman"/>
        </w:rPr>
        <w:t xml:space="preserve"> 蛋白质含量</w:t>
      </w:r>
    </w:p>
    <w:p w14:paraId="171CAC62">
      <w:pPr>
        <w:pStyle w:val="24"/>
        <w:rPr>
          <w:rFonts w:ascii="Times New Roman"/>
        </w:rPr>
      </w:pPr>
      <w:r>
        <w:rPr>
          <w:rFonts w:ascii="Times New Roman"/>
        </w:rPr>
        <w:t>按照《中华人民共和国药典》（2025版）四部 通则0731蛋白质含量测定法中规定的第一法 凯氏定氮法进行检验。</w:t>
      </w:r>
    </w:p>
    <w:p w14:paraId="6DAAE597">
      <w:pPr>
        <w:pStyle w:val="46"/>
        <w:numPr>
          <w:ilvl w:val="0"/>
          <w:numId w:val="14"/>
        </w:numPr>
        <w:spacing w:before="156" w:after="156" w:line="276" w:lineRule="auto"/>
        <w:rPr>
          <w:rFonts w:ascii="Times New Roman"/>
        </w:rPr>
      </w:pPr>
      <w:r>
        <w:rPr>
          <w:rFonts w:ascii="Times New Roman"/>
        </w:rPr>
        <w:t xml:space="preserve"> 氨基酸分析</w:t>
      </w:r>
    </w:p>
    <w:p w14:paraId="5036C2EC">
      <w:pPr>
        <w:pStyle w:val="24"/>
        <w:rPr>
          <w:rFonts w:ascii="Times New Roman"/>
        </w:rPr>
      </w:pPr>
      <w:r>
        <w:rPr>
          <w:rFonts w:ascii="Times New Roman"/>
        </w:rPr>
        <w:t>按GB/T 32016中酸水解法对产品进行预处理，使用氨基酸分析仪进行氨基酸含量检验，并计算丝氨酸、丙氨酸、甘氨酸的总含量。</w:t>
      </w:r>
    </w:p>
    <w:p w14:paraId="30B3747D">
      <w:pPr>
        <w:pStyle w:val="46"/>
        <w:numPr>
          <w:ilvl w:val="0"/>
          <w:numId w:val="14"/>
        </w:numPr>
        <w:spacing w:before="156" w:after="156" w:line="276" w:lineRule="auto"/>
        <w:rPr>
          <w:rFonts w:ascii="Times New Roman"/>
        </w:rPr>
      </w:pPr>
      <w:r>
        <w:rPr>
          <w:rFonts w:ascii="Times New Roman"/>
        </w:rPr>
        <w:t xml:space="preserve"> 酸碱度</w:t>
      </w:r>
    </w:p>
    <w:p w14:paraId="6F88A790">
      <w:pPr>
        <w:pStyle w:val="24"/>
        <w:rPr>
          <w:rFonts w:ascii="Times New Roman"/>
        </w:rPr>
      </w:pPr>
      <w:r>
        <w:rPr>
          <w:rFonts w:ascii="Times New Roman"/>
        </w:rPr>
        <w:t>按照GB/T 16886.12中的规定制备检验液和空白液，按照《中华人民共和国药典》（2025版）四部通则0631 pH值测定法进行检验</w:t>
      </w:r>
      <w:r>
        <w:rPr>
          <w:rFonts w:hint="eastAsia" w:ascii="Times New Roman"/>
        </w:rPr>
        <w:t>，计算检验液与空白液的pH值之差</w:t>
      </w:r>
      <w:r>
        <w:rPr>
          <w:rFonts w:ascii="Times New Roman"/>
        </w:rPr>
        <w:t>。</w:t>
      </w:r>
    </w:p>
    <w:p w14:paraId="68913C71">
      <w:pPr>
        <w:pStyle w:val="46"/>
        <w:numPr>
          <w:ilvl w:val="0"/>
          <w:numId w:val="14"/>
        </w:numPr>
        <w:spacing w:before="156" w:after="156" w:line="276" w:lineRule="auto"/>
        <w:rPr>
          <w:rFonts w:ascii="Times New Roman"/>
        </w:rPr>
      </w:pPr>
      <w:r>
        <w:rPr>
          <w:rFonts w:ascii="Times New Roman"/>
        </w:rPr>
        <w:t xml:space="preserve"> 炽灼残渣</w:t>
      </w:r>
    </w:p>
    <w:p w14:paraId="26C8A214">
      <w:pPr>
        <w:pStyle w:val="24"/>
        <w:rPr>
          <w:rFonts w:ascii="Times New Roman"/>
        </w:rPr>
      </w:pPr>
      <w:r>
        <w:rPr>
          <w:rFonts w:ascii="Times New Roman"/>
        </w:rPr>
        <w:t>按照《中华人民共和国药典》（2025版）四部</w:t>
      </w:r>
      <w:r>
        <w:rPr>
          <w:rFonts w:hint="eastAsia" w:ascii="Times New Roman"/>
        </w:rPr>
        <w:t xml:space="preserve"> </w:t>
      </w:r>
      <w:r>
        <w:rPr>
          <w:rFonts w:ascii="Times New Roman"/>
        </w:rPr>
        <w:t>通则0841炽灼残渣检查法进行检验。</w:t>
      </w:r>
    </w:p>
    <w:p w14:paraId="79FEA9BC">
      <w:pPr>
        <w:pStyle w:val="46"/>
        <w:numPr>
          <w:ilvl w:val="0"/>
          <w:numId w:val="14"/>
        </w:numPr>
        <w:spacing w:before="156" w:after="156" w:line="276" w:lineRule="auto"/>
        <w:rPr>
          <w:rFonts w:ascii="Times New Roman"/>
        </w:rPr>
      </w:pPr>
      <w:r>
        <w:rPr>
          <w:rFonts w:ascii="Times New Roman"/>
        </w:rPr>
        <w:t>干燥失重</w:t>
      </w:r>
    </w:p>
    <w:p w14:paraId="39C294A6">
      <w:pPr>
        <w:pStyle w:val="24"/>
        <w:rPr>
          <w:rFonts w:ascii="Times New Roman"/>
        </w:rPr>
      </w:pPr>
      <w:r>
        <w:rPr>
          <w:rFonts w:ascii="Times New Roman"/>
        </w:rPr>
        <w:t>按照《中华人民共和国药典》（2025版）四部</w:t>
      </w:r>
      <w:r>
        <w:rPr>
          <w:rFonts w:hint="eastAsia" w:ascii="Times New Roman"/>
        </w:rPr>
        <w:t xml:space="preserve"> </w:t>
      </w:r>
      <w:r>
        <w:rPr>
          <w:rFonts w:ascii="Times New Roman"/>
        </w:rPr>
        <w:t>通则0831干燥失重测定法进行检验。</w:t>
      </w:r>
    </w:p>
    <w:p w14:paraId="78CD67D0">
      <w:pPr>
        <w:pStyle w:val="46"/>
        <w:numPr>
          <w:ilvl w:val="0"/>
          <w:numId w:val="14"/>
        </w:numPr>
        <w:spacing w:before="156" w:after="156" w:line="276" w:lineRule="auto"/>
        <w:rPr>
          <w:rFonts w:ascii="Times New Roman"/>
        </w:rPr>
      </w:pPr>
      <w:r>
        <w:rPr>
          <w:rFonts w:ascii="Times New Roman"/>
        </w:rPr>
        <w:t xml:space="preserve"> 重金属</w:t>
      </w:r>
    </w:p>
    <w:p w14:paraId="7B1489A6">
      <w:pPr>
        <w:pStyle w:val="24"/>
        <w:rPr>
          <w:rFonts w:ascii="Times New Roman"/>
        </w:rPr>
      </w:pPr>
      <w:r>
        <w:rPr>
          <w:rFonts w:ascii="Times New Roman"/>
        </w:rPr>
        <w:t>按照《中华人民共和国药典》</w:t>
      </w:r>
      <w:bookmarkStart w:id="88" w:name="OLE_LINK11"/>
      <w:r>
        <w:rPr>
          <w:rFonts w:ascii="Times New Roman"/>
        </w:rPr>
        <w:t>（2025版）</w:t>
      </w:r>
      <w:bookmarkEnd w:id="88"/>
      <w:r>
        <w:rPr>
          <w:rFonts w:ascii="Times New Roman"/>
        </w:rPr>
        <w:t>四部 通则0821重金属检查法 第二法的规定进行检验。</w:t>
      </w:r>
    </w:p>
    <w:p w14:paraId="5DF1A581">
      <w:pPr>
        <w:pStyle w:val="46"/>
        <w:numPr>
          <w:ilvl w:val="0"/>
          <w:numId w:val="14"/>
        </w:numPr>
        <w:spacing w:before="156" w:after="156" w:line="276" w:lineRule="auto"/>
        <w:rPr>
          <w:rFonts w:ascii="Times New Roman"/>
        </w:rPr>
      </w:pPr>
      <w:r>
        <w:rPr>
          <w:rFonts w:ascii="Times New Roman"/>
        </w:rPr>
        <w:t xml:space="preserve"> 微量元素</w:t>
      </w:r>
    </w:p>
    <w:p w14:paraId="1A673DFA">
      <w:pPr>
        <w:pStyle w:val="24"/>
        <w:rPr>
          <w:rFonts w:ascii="Times New Roman"/>
        </w:rPr>
      </w:pPr>
      <w:r>
        <w:rPr>
          <w:rFonts w:ascii="Times New Roman"/>
        </w:rPr>
        <w:t>按《中华人民共和国药典》（2025版）四部</w:t>
      </w:r>
      <w:r>
        <w:rPr>
          <w:rFonts w:hint="eastAsia" w:ascii="Times New Roman"/>
        </w:rPr>
        <w:t xml:space="preserve"> </w:t>
      </w:r>
      <w:r>
        <w:rPr>
          <w:rFonts w:ascii="Times New Roman"/>
        </w:rPr>
        <w:t>通则0406原子吸收分光光度法，或0411电感耦合等离子体原子发射光谱法，或0412电感耦合等离子体质谱法进行检验。</w:t>
      </w:r>
    </w:p>
    <w:p w14:paraId="31B75C3F">
      <w:pPr>
        <w:pStyle w:val="46"/>
        <w:numPr>
          <w:ilvl w:val="0"/>
          <w:numId w:val="14"/>
        </w:numPr>
        <w:spacing w:before="156" w:after="156" w:line="276" w:lineRule="auto"/>
        <w:rPr>
          <w:rFonts w:ascii="Times New Roman"/>
        </w:rPr>
      </w:pPr>
      <w:r>
        <w:rPr>
          <w:rFonts w:ascii="Times New Roman"/>
        </w:rPr>
        <w:t>试剂残留</w:t>
      </w:r>
    </w:p>
    <w:p w14:paraId="5D3017A5">
      <w:pPr>
        <w:pStyle w:val="24"/>
        <w:spacing w:before="156" w:beforeLines="50" w:after="156" w:afterLines="50" w:line="276" w:lineRule="auto"/>
        <w:ind w:firstLine="0" w:firstLineChars="0"/>
        <w:jc w:val="left"/>
        <w:rPr>
          <w:rFonts w:ascii="Times New Roman" w:eastAsia="黑体"/>
        </w:rPr>
      </w:pPr>
      <w:r>
        <w:rPr>
          <w:rFonts w:ascii="Times New Roman" w:eastAsia="黑体"/>
        </w:rPr>
        <w:t>5.15.1 碳酸钠/碳酸氢钠残留</w:t>
      </w:r>
    </w:p>
    <w:p w14:paraId="0C3C8097">
      <w:pPr>
        <w:pStyle w:val="24"/>
        <w:rPr>
          <w:rFonts w:ascii="Times New Roman"/>
        </w:rPr>
      </w:pPr>
      <w:r>
        <w:rPr>
          <w:rFonts w:ascii="Times New Roman"/>
        </w:rPr>
        <w:t>按照附录B规定的方法检验。</w:t>
      </w:r>
    </w:p>
    <w:p w14:paraId="79EB381A">
      <w:pPr>
        <w:pStyle w:val="24"/>
        <w:spacing w:before="156" w:beforeLines="50" w:after="156" w:afterLines="50" w:line="276" w:lineRule="auto"/>
        <w:ind w:firstLine="0" w:firstLineChars="0"/>
        <w:jc w:val="left"/>
        <w:rPr>
          <w:rFonts w:ascii="Times New Roman" w:eastAsia="黑体"/>
        </w:rPr>
      </w:pPr>
      <w:r>
        <w:rPr>
          <w:rFonts w:ascii="Times New Roman" w:eastAsia="黑体"/>
        </w:rPr>
        <w:t>5.15.2 溴化锂残留</w:t>
      </w:r>
    </w:p>
    <w:p w14:paraId="4FD43AF3">
      <w:pPr>
        <w:pStyle w:val="24"/>
        <w:rPr>
          <w:rFonts w:ascii="Times New Roman"/>
        </w:rPr>
      </w:pPr>
      <w:r>
        <w:rPr>
          <w:rFonts w:ascii="Times New Roman"/>
        </w:rPr>
        <w:t>按《中华人民共和国药典》（2025版）四部</w:t>
      </w:r>
      <w:r>
        <w:rPr>
          <w:rFonts w:hint="eastAsia" w:ascii="Times New Roman"/>
        </w:rPr>
        <w:t xml:space="preserve"> </w:t>
      </w:r>
      <w:r>
        <w:rPr>
          <w:rFonts w:ascii="Times New Roman"/>
        </w:rPr>
        <w:t>通则0513离子色谱法</w:t>
      </w:r>
      <w:r>
        <w:rPr>
          <w:rFonts w:hint="eastAsia" w:ascii="Times New Roman"/>
        </w:rPr>
        <w:t>，</w:t>
      </w:r>
      <w:r>
        <w:rPr>
          <w:rFonts w:ascii="Times New Roman"/>
        </w:rPr>
        <w:t>或0412电感耦合等离子体质谱法进行检验。</w:t>
      </w:r>
    </w:p>
    <w:p w14:paraId="3E8C3526">
      <w:pPr>
        <w:pStyle w:val="46"/>
        <w:numPr>
          <w:ilvl w:val="0"/>
          <w:numId w:val="14"/>
        </w:numPr>
        <w:spacing w:before="156" w:after="156" w:line="276" w:lineRule="auto"/>
        <w:rPr>
          <w:rFonts w:ascii="Times New Roman"/>
        </w:rPr>
      </w:pPr>
      <w:r>
        <w:rPr>
          <w:rFonts w:ascii="Times New Roman"/>
        </w:rPr>
        <w:t>无菌</w:t>
      </w:r>
    </w:p>
    <w:p w14:paraId="23DFCD65">
      <w:pPr>
        <w:pStyle w:val="24"/>
        <w:rPr>
          <w:rFonts w:ascii="Times New Roman"/>
        </w:rPr>
      </w:pPr>
      <w:r>
        <w:rPr>
          <w:rFonts w:ascii="Times New Roman"/>
        </w:rPr>
        <w:t>按《中华人民共和国药典》（2025版）四部</w:t>
      </w:r>
      <w:r>
        <w:rPr>
          <w:rFonts w:hint="eastAsia" w:ascii="Times New Roman"/>
        </w:rPr>
        <w:t xml:space="preserve"> </w:t>
      </w:r>
      <w:r>
        <w:rPr>
          <w:rFonts w:ascii="Times New Roman"/>
        </w:rPr>
        <w:t>通则1101无菌检查法进行检验。</w:t>
      </w:r>
    </w:p>
    <w:p w14:paraId="5BD76652">
      <w:pPr>
        <w:pStyle w:val="46"/>
        <w:numPr>
          <w:ilvl w:val="0"/>
          <w:numId w:val="14"/>
        </w:numPr>
        <w:spacing w:before="156" w:after="156" w:line="276" w:lineRule="auto"/>
        <w:rPr>
          <w:rFonts w:ascii="Times New Roman"/>
        </w:rPr>
      </w:pPr>
      <w:r>
        <w:rPr>
          <w:rFonts w:ascii="Times New Roman"/>
        </w:rPr>
        <w:t xml:space="preserve"> 细菌内毒素</w:t>
      </w:r>
    </w:p>
    <w:p w14:paraId="717D2E54">
      <w:pPr>
        <w:pStyle w:val="24"/>
        <w:rPr>
          <w:rFonts w:ascii="Times New Roman"/>
        </w:rPr>
      </w:pPr>
      <w:r>
        <w:rPr>
          <w:rFonts w:ascii="Times New Roman"/>
        </w:rPr>
        <w:t>按《中华人民共和国药典》（2025版）四部</w:t>
      </w:r>
      <w:r>
        <w:rPr>
          <w:rFonts w:hint="eastAsia" w:ascii="Times New Roman"/>
        </w:rPr>
        <w:t xml:space="preserve"> </w:t>
      </w:r>
      <w:r>
        <w:rPr>
          <w:rFonts w:ascii="Times New Roman"/>
        </w:rPr>
        <w:t>通则1143细菌内毒素检查法进行检验。</w:t>
      </w:r>
    </w:p>
    <w:p w14:paraId="73A6D46D">
      <w:pPr>
        <w:pStyle w:val="46"/>
        <w:numPr>
          <w:ilvl w:val="0"/>
          <w:numId w:val="14"/>
        </w:numPr>
        <w:spacing w:before="156" w:after="156" w:line="276" w:lineRule="auto"/>
        <w:rPr>
          <w:rFonts w:ascii="Times New Roman"/>
        </w:rPr>
      </w:pPr>
      <w:r>
        <w:rPr>
          <w:rFonts w:ascii="Times New Roman"/>
        </w:rPr>
        <w:t xml:space="preserve"> 体外降解性能</w:t>
      </w:r>
    </w:p>
    <w:p w14:paraId="62303EF9">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体外降解试验可参考YY/T 0473、YY/T 0474、GB/T 16886.13的规定进行。</w:t>
      </w:r>
    </w:p>
    <w:p w14:paraId="16C92E3F">
      <w:pPr>
        <w:pStyle w:val="46"/>
        <w:numPr>
          <w:ilvl w:val="0"/>
          <w:numId w:val="14"/>
        </w:numPr>
        <w:spacing w:before="156" w:after="156" w:line="276" w:lineRule="auto"/>
        <w:rPr>
          <w:rFonts w:ascii="Times New Roman"/>
        </w:rPr>
      </w:pPr>
      <w:r>
        <w:rPr>
          <w:rFonts w:ascii="Times New Roman"/>
        </w:rPr>
        <w:t xml:space="preserve"> 生物学评价</w:t>
      </w:r>
    </w:p>
    <w:p w14:paraId="3EFFF291">
      <w:pPr>
        <w:pStyle w:val="24"/>
        <w:rPr>
          <w:rFonts w:ascii="Times New Roman"/>
        </w:rPr>
      </w:pPr>
      <w:r>
        <w:rPr>
          <w:rFonts w:ascii="Times New Roman"/>
        </w:rPr>
        <w:t>应按GB/T 16886系列标准的规定进行生物学评价。</w:t>
      </w:r>
    </w:p>
    <w:p w14:paraId="52FC36A9">
      <w:pPr>
        <w:pStyle w:val="46"/>
        <w:numPr>
          <w:ilvl w:val="0"/>
          <w:numId w:val="14"/>
        </w:numPr>
        <w:spacing w:before="156" w:after="156" w:line="276" w:lineRule="auto"/>
        <w:rPr>
          <w:rFonts w:ascii="Times New Roman"/>
        </w:rPr>
      </w:pPr>
      <w:r>
        <w:rPr>
          <w:rFonts w:ascii="Times New Roman"/>
        </w:rPr>
        <w:t xml:space="preserve"> 动物源材料安全性评价</w:t>
      </w:r>
    </w:p>
    <w:p w14:paraId="0DF46C8A">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参考《动物源性医疗器械注册技术审查指导原则》和YY/T 0771及GB/T 44353（ISO 22442）系列标准进行评价。</w:t>
      </w:r>
      <w:bookmarkEnd w:id="55"/>
      <w:bookmarkEnd w:id="56"/>
      <w:bookmarkEnd w:id="57"/>
      <w:bookmarkEnd w:id="58"/>
      <w:bookmarkEnd w:id="59"/>
      <w:bookmarkEnd w:id="60"/>
      <w:bookmarkEnd w:id="61"/>
      <w:bookmarkEnd w:id="62"/>
      <w:bookmarkEnd w:id="63"/>
    </w:p>
    <w:p w14:paraId="74F4AF37">
      <w:pPr>
        <w:pStyle w:val="49"/>
        <w:spacing w:before="312" w:after="312"/>
        <w:ind w:left="0"/>
        <w:rPr>
          <w:rFonts w:ascii="Times New Roman"/>
          <w:szCs w:val="21"/>
        </w:rPr>
      </w:pPr>
      <w:bookmarkStart w:id="89" w:name="_Toc237247733"/>
      <w:r>
        <w:rPr>
          <w:rFonts w:ascii="Times New Roman"/>
          <w:szCs w:val="21"/>
        </w:rPr>
        <w:t>制造</w:t>
      </w:r>
      <w:bookmarkEnd w:id="89"/>
      <w:r>
        <w:rPr>
          <w:rFonts w:ascii="Times New Roman"/>
          <w:szCs w:val="21"/>
        </w:rPr>
        <w:t xml:space="preserve"> </w:t>
      </w:r>
    </w:p>
    <w:p w14:paraId="69F2BCF3">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应符合YY/T 0640的规定。</w:t>
      </w:r>
    </w:p>
    <w:p w14:paraId="2047ACBE">
      <w:pPr>
        <w:pStyle w:val="49"/>
        <w:spacing w:before="312" w:after="312"/>
        <w:ind w:left="0"/>
        <w:rPr>
          <w:rFonts w:ascii="Times New Roman"/>
        </w:rPr>
      </w:pPr>
      <w:bookmarkStart w:id="90" w:name="_Toc237247734"/>
      <w:r>
        <w:rPr>
          <w:rFonts w:ascii="Times New Roman"/>
          <w:szCs w:val="21"/>
        </w:rPr>
        <w:t>灭菌</w:t>
      </w:r>
      <w:bookmarkEnd w:id="90"/>
      <w:r>
        <w:rPr>
          <w:rFonts w:ascii="Times New Roman"/>
          <w:szCs w:val="21"/>
        </w:rPr>
        <w:t xml:space="preserve"> </w:t>
      </w:r>
    </w:p>
    <w:p w14:paraId="78BAAF2A">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应符合YY/T 0640的规定。</w:t>
      </w:r>
    </w:p>
    <w:p w14:paraId="2CDEDCAA">
      <w:pPr>
        <w:pStyle w:val="49"/>
        <w:spacing w:before="312" w:after="312"/>
        <w:ind w:left="0"/>
        <w:rPr>
          <w:rFonts w:ascii="Times New Roman"/>
          <w:szCs w:val="21"/>
        </w:rPr>
      </w:pPr>
      <w:bookmarkStart w:id="91" w:name="_Toc237247735"/>
      <w:r>
        <w:rPr>
          <w:rFonts w:ascii="Times New Roman"/>
          <w:szCs w:val="21"/>
        </w:rPr>
        <w:t>包装</w:t>
      </w:r>
      <w:bookmarkEnd w:id="91"/>
      <w:r>
        <w:rPr>
          <w:rFonts w:ascii="Times New Roman"/>
          <w:szCs w:val="21"/>
        </w:rPr>
        <w:t xml:space="preserve"> </w:t>
      </w:r>
    </w:p>
    <w:p w14:paraId="7CC429B7">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 xml:space="preserve">应符合YY/T 0640的规定。 </w:t>
      </w:r>
    </w:p>
    <w:p w14:paraId="0C814805">
      <w:pPr>
        <w:pStyle w:val="49"/>
        <w:spacing w:before="312" w:after="312"/>
        <w:ind w:left="0"/>
        <w:rPr>
          <w:rFonts w:ascii="Times New Roman"/>
          <w:szCs w:val="21"/>
        </w:rPr>
      </w:pPr>
      <w:bookmarkStart w:id="92" w:name="_Toc237247736"/>
      <w:r>
        <w:rPr>
          <w:rFonts w:ascii="Times New Roman"/>
          <w:szCs w:val="21"/>
        </w:rPr>
        <w:t>制造商提供的信息</w:t>
      </w:r>
      <w:bookmarkEnd w:id="92"/>
    </w:p>
    <w:p w14:paraId="56B4A914">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应符合YY/T 0640的规定。</w:t>
      </w:r>
    </w:p>
    <w:p w14:paraId="7C7CD1CA">
      <w:pPr>
        <w:widowControl/>
        <w:jc w:val="left"/>
        <w:rPr>
          <w:kern w:val="0"/>
          <w:szCs w:val="20"/>
        </w:rPr>
      </w:pPr>
      <w:r>
        <w:rPr>
          <w:kern w:val="0"/>
          <w:szCs w:val="20"/>
        </w:rPr>
        <w:br w:type="page"/>
      </w:r>
    </w:p>
    <w:p w14:paraId="1E544CAD">
      <w:pPr>
        <w:pStyle w:val="24"/>
        <w:spacing w:line="276" w:lineRule="auto"/>
        <w:jc w:val="center"/>
        <w:rPr>
          <w:rFonts w:ascii="Times New Roman" w:eastAsia="黑体"/>
        </w:rPr>
      </w:pPr>
      <w:r>
        <w:rPr>
          <w:rFonts w:ascii="Times New Roman" w:eastAsia="黑体"/>
        </w:rPr>
        <w:t>附 录</w:t>
      </w:r>
      <w:r>
        <w:rPr>
          <w:rFonts w:ascii="黑体" w:hAnsi="黑体" w:eastAsia="黑体"/>
          <w:szCs w:val="21"/>
        </w:rPr>
        <w:t xml:space="preserve"> A</w:t>
      </w:r>
    </w:p>
    <w:p w14:paraId="01B49EAA">
      <w:pPr>
        <w:pStyle w:val="24"/>
        <w:spacing w:line="276" w:lineRule="auto"/>
        <w:jc w:val="center"/>
        <w:rPr>
          <w:rFonts w:ascii="Times New Roman" w:eastAsia="黑体"/>
        </w:rPr>
      </w:pPr>
      <w:r>
        <w:rPr>
          <w:rFonts w:ascii="Times New Roman" w:eastAsia="黑体"/>
        </w:rPr>
        <w:t>（资料性）</w:t>
      </w:r>
    </w:p>
    <w:p w14:paraId="2DBA6435">
      <w:pPr>
        <w:pStyle w:val="24"/>
        <w:spacing w:line="276" w:lineRule="auto"/>
        <w:jc w:val="center"/>
        <w:rPr>
          <w:rFonts w:ascii="Times New Roman" w:eastAsia="黑体"/>
        </w:rPr>
      </w:pPr>
      <w:r>
        <w:rPr>
          <w:rFonts w:ascii="Times New Roman" w:eastAsia="黑体"/>
        </w:rPr>
        <w:t>抗压强度试验</w:t>
      </w:r>
    </w:p>
    <w:p w14:paraId="0AFE33AC">
      <w:pPr>
        <w:pStyle w:val="49"/>
        <w:numPr>
          <w:ilvl w:val="0"/>
          <w:numId w:val="0"/>
        </w:numPr>
        <w:spacing w:before="312" w:after="312"/>
        <w:rPr>
          <w:rFonts w:ascii="Times New Roman"/>
        </w:rPr>
      </w:pPr>
      <w:bookmarkStart w:id="93" w:name="OLE_LINK2"/>
      <w:bookmarkStart w:id="94" w:name="_Toc237247737"/>
      <w:r>
        <w:rPr>
          <w:rFonts w:hAnsi="黑体"/>
          <w:szCs w:val="21"/>
        </w:rPr>
        <w:t>A.1</w:t>
      </w:r>
      <w:bookmarkEnd w:id="93"/>
      <w:r>
        <w:rPr>
          <w:rFonts w:ascii="Times New Roman"/>
        </w:rPr>
        <w:t xml:space="preserve"> 原理</w:t>
      </w:r>
      <w:bookmarkEnd w:id="94"/>
    </w:p>
    <w:p w14:paraId="0A139B63">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通过对试样轴向施加单向压缩力，测定供试品</w:t>
      </w:r>
      <w:r>
        <w:rPr>
          <w:rFonts w:hint="eastAsia"/>
          <w:kern w:val="0"/>
          <w:szCs w:val="20"/>
        </w:rPr>
        <w:t>抗压强度性能</w:t>
      </w:r>
      <w:r>
        <w:rPr>
          <w:kern w:val="0"/>
          <w:szCs w:val="20"/>
        </w:rPr>
        <w:t>。</w:t>
      </w:r>
    </w:p>
    <w:p w14:paraId="2B61A57D">
      <w:pPr>
        <w:pStyle w:val="49"/>
        <w:numPr>
          <w:ilvl w:val="0"/>
          <w:numId w:val="0"/>
        </w:numPr>
        <w:spacing w:before="312" w:after="312"/>
        <w:rPr>
          <w:rFonts w:ascii="Times New Roman"/>
        </w:rPr>
      </w:pPr>
      <w:bookmarkStart w:id="95" w:name="_Toc237247738"/>
      <w:r>
        <w:rPr>
          <w:rFonts w:hAnsi="黑体"/>
          <w:szCs w:val="21"/>
        </w:rPr>
        <w:t>A.2</w:t>
      </w:r>
      <w:r>
        <w:rPr>
          <w:rFonts w:ascii="Times New Roman"/>
        </w:rPr>
        <w:t xml:space="preserve"> 仪器与试剂</w:t>
      </w:r>
      <w:bookmarkEnd w:id="95"/>
    </w:p>
    <w:p w14:paraId="5C166A26">
      <w:pPr>
        <w:widowControl/>
        <w:numPr>
          <w:ilvl w:val="0"/>
          <w:numId w:val="15"/>
        </w:numPr>
        <w:tabs>
          <w:tab w:val="center" w:pos="4201"/>
          <w:tab w:val="right" w:leader="dot" w:pos="9298"/>
        </w:tabs>
        <w:autoSpaceDE w:val="0"/>
        <w:autoSpaceDN w:val="0"/>
        <w:spacing w:line="276" w:lineRule="auto"/>
        <w:rPr>
          <w:rFonts w:eastAsia="黑体"/>
          <w:kern w:val="0"/>
          <w:szCs w:val="20"/>
        </w:rPr>
      </w:pPr>
      <w:r>
        <w:rPr>
          <w:rFonts w:eastAsia="黑体"/>
          <w:kern w:val="0"/>
          <w:szCs w:val="20"/>
        </w:rPr>
        <w:t>抗压强度试验机</w:t>
      </w:r>
    </w:p>
    <w:p w14:paraId="62F3276B">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应确保作用于试样的压缩力加载速度恒定，并且能够记录施加的最大负荷，精确度达到1%。</w:t>
      </w:r>
    </w:p>
    <w:p w14:paraId="5ED533DF">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抗压强度试验机应无异常，经过校准并在有效期内。</w:t>
      </w:r>
    </w:p>
    <w:p w14:paraId="253C1821">
      <w:pPr>
        <w:widowControl/>
        <w:numPr>
          <w:ilvl w:val="0"/>
          <w:numId w:val="15"/>
        </w:numPr>
        <w:tabs>
          <w:tab w:val="center" w:pos="4201"/>
          <w:tab w:val="right" w:leader="dot" w:pos="9298"/>
        </w:tabs>
        <w:autoSpaceDE w:val="0"/>
        <w:autoSpaceDN w:val="0"/>
        <w:spacing w:line="276" w:lineRule="auto"/>
        <w:rPr>
          <w:rFonts w:eastAsia="黑体"/>
          <w:kern w:val="0"/>
          <w:szCs w:val="20"/>
        </w:rPr>
      </w:pPr>
      <w:r>
        <w:rPr>
          <w:rFonts w:eastAsia="黑体"/>
          <w:kern w:val="0"/>
          <w:szCs w:val="20"/>
        </w:rPr>
        <w:t>加压柱</w:t>
      </w:r>
    </w:p>
    <w:p w14:paraId="0D765ED1">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试样加压柱的钢硬度为300 HV或更高（≥30 HRC），厚度应至少10 mm，表面积至少是试样横截面的4倍。加压柱与试样接触面的R</w:t>
      </w:r>
      <w:r>
        <w:rPr>
          <w:kern w:val="0"/>
          <w:szCs w:val="20"/>
          <w:vertAlign w:val="subscript"/>
        </w:rPr>
        <w:t>a</w:t>
      </w:r>
      <w:r>
        <w:rPr>
          <w:kern w:val="0"/>
          <w:szCs w:val="20"/>
        </w:rPr>
        <w:t>粗糙度不超过0.40μm, 平行度不超过0.01 mm。</w:t>
      </w:r>
    </w:p>
    <w:p w14:paraId="11202D94">
      <w:pPr>
        <w:widowControl/>
        <w:numPr>
          <w:ilvl w:val="0"/>
          <w:numId w:val="15"/>
        </w:numPr>
        <w:tabs>
          <w:tab w:val="center" w:pos="4201"/>
          <w:tab w:val="right" w:leader="dot" w:pos="9298"/>
        </w:tabs>
        <w:autoSpaceDE w:val="0"/>
        <w:autoSpaceDN w:val="0"/>
        <w:spacing w:line="276" w:lineRule="auto"/>
        <w:rPr>
          <w:rFonts w:eastAsia="黑体"/>
          <w:kern w:val="0"/>
          <w:szCs w:val="20"/>
        </w:rPr>
      </w:pPr>
      <w:r>
        <w:rPr>
          <w:rFonts w:eastAsia="黑体"/>
          <w:kern w:val="0"/>
          <w:szCs w:val="20"/>
        </w:rPr>
        <w:t>基座</w:t>
      </w:r>
    </w:p>
    <w:p w14:paraId="4740A27E">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放置试样的基座钢硬度为300HV或更高（≥30 HRC），厚度应至少10 mm，表面积至少是试样横截面的4倍。与标本接触面的R</w:t>
      </w:r>
      <w:r>
        <w:rPr>
          <w:kern w:val="0"/>
          <w:szCs w:val="20"/>
          <w:vertAlign w:val="subscript"/>
        </w:rPr>
        <w:t>a</w:t>
      </w:r>
      <w:r>
        <w:rPr>
          <w:kern w:val="0"/>
          <w:szCs w:val="20"/>
        </w:rPr>
        <w:t>粗糙度不超过0.40μm, 平行度不超过0.01 mm。</w:t>
      </w:r>
    </w:p>
    <w:p w14:paraId="15A69491">
      <w:pPr>
        <w:pStyle w:val="49"/>
        <w:numPr>
          <w:ilvl w:val="0"/>
          <w:numId w:val="0"/>
        </w:numPr>
        <w:spacing w:before="312" w:after="312"/>
        <w:rPr>
          <w:rFonts w:ascii="Times New Roman"/>
          <w:szCs w:val="21"/>
        </w:rPr>
      </w:pPr>
      <w:bookmarkStart w:id="96" w:name="_Toc237247739"/>
      <w:r>
        <w:rPr>
          <w:rFonts w:hAnsi="黑体"/>
          <w:szCs w:val="21"/>
        </w:rPr>
        <w:t>A.3</w:t>
      </w:r>
      <w:r>
        <w:rPr>
          <w:rFonts w:ascii="Times New Roman"/>
          <w:szCs w:val="21"/>
        </w:rPr>
        <w:t xml:space="preserve"> 试验方法</w:t>
      </w:r>
      <w:bookmarkEnd w:id="96"/>
    </w:p>
    <w:p w14:paraId="562A2FA2">
      <w:pPr>
        <w:pStyle w:val="153"/>
        <w:widowControl/>
        <w:numPr>
          <w:ilvl w:val="0"/>
          <w:numId w:val="16"/>
        </w:numPr>
        <w:tabs>
          <w:tab w:val="center" w:pos="4201"/>
          <w:tab w:val="right" w:leader="dot" w:pos="9298"/>
        </w:tabs>
        <w:autoSpaceDE w:val="0"/>
        <w:autoSpaceDN w:val="0"/>
        <w:spacing w:line="276" w:lineRule="auto"/>
        <w:ind w:firstLineChars="0"/>
        <w:rPr>
          <w:rFonts w:eastAsia="黑体"/>
          <w:kern w:val="0"/>
          <w:szCs w:val="20"/>
        </w:rPr>
      </w:pPr>
      <w:r>
        <w:rPr>
          <w:rFonts w:eastAsia="黑体"/>
          <w:kern w:val="0"/>
          <w:szCs w:val="20"/>
        </w:rPr>
        <w:t xml:space="preserve"> 试样要求</w:t>
      </w:r>
    </w:p>
    <w:p w14:paraId="7B5E23AC">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试样通常为直径（10.0±0.1）mm和高（15.0±0.1）mm的圆柱体。试样也可是长（10.0±0.1）mm、宽（10.0±0.1）mm和高（15.0±0.1）mm的标准长方体。试样上下面间的平行度应不大于0.1 mm。试样上下面与侧面的垂直度应不大于0.1 mm。</w:t>
      </w:r>
    </w:p>
    <w:p w14:paraId="658B6CD3">
      <w:pPr>
        <w:pStyle w:val="153"/>
        <w:widowControl/>
        <w:numPr>
          <w:ilvl w:val="0"/>
          <w:numId w:val="16"/>
        </w:numPr>
        <w:tabs>
          <w:tab w:val="center" w:pos="4201"/>
          <w:tab w:val="right" w:leader="dot" w:pos="9298"/>
        </w:tabs>
        <w:autoSpaceDE w:val="0"/>
        <w:autoSpaceDN w:val="0"/>
        <w:spacing w:line="276" w:lineRule="auto"/>
        <w:ind w:firstLineChars="0"/>
        <w:rPr>
          <w:rFonts w:eastAsia="黑体"/>
          <w:kern w:val="0"/>
          <w:szCs w:val="20"/>
        </w:rPr>
      </w:pPr>
      <w:r>
        <w:rPr>
          <w:rFonts w:eastAsia="黑体"/>
          <w:kern w:val="0"/>
          <w:szCs w:val="20"/>
        </w:rPr>
        <w:t xml:space="preserve"> 测定</w:t>
      </w:r>
    </w:p>
    <w:p w14:paraId="297A044D">
      <w:pPr>
        <w:widowControl/>
        <w:tabs>
          <w:tab w:val="center" w:pos="4201"/>
          <w:tab w:val="right" w:leader="dot" w:pos="9298"/>
        </w:tabs>
        <w:autoSpaceDE w:val="0"/>
        <w:autoSpaceDN w:val="0"/>
        <w:spacing w:line="276" w:lineRule="auto"/>
        <w:rPr>
          <w:kern w:val="0"/>
          <w:szCs w:val="20"/>
        </w:rPr>
      </w:pPr>
      <w:bookmarkStart w:id="97" w:name="OLE_LINK3"/>
      <w:r>
        <w:rPr>
          <w:rFonts w:ascii="黑体" w:hAnsi="黑体" w:eastAsia="黑体"/>
          <w:kern w:val="0"/>
          <w:szCs w:val="21"/>
        </w:rPr>
        <w:t>A.3.2.1</w:t>
      </w:r>
      <w:r>
        <w:rPr>
          <w:rFonts w:eastAsia="黑体"/>
          <w:kern w:val="0"/>
          <w:szCs w:val="20"/>
        </w:rPr>
        <w:t xml:space="preserve"> </w:t>
      </w:r>
      <w:bookmarkEnd w:id="97"/>
      <w:r>
        <w:rPr>
          <w:kern w:val="0"/>
          <w:szCs w:val="20"/>
        </w:rPr>
        <w:t>试样应放置于基座中央，基座、试样和加压柱的纵轴应沿加载线对齐</w:t>
      </w:r>
      <w:r>
        <w:rPr>
          <w:rFonts w:hint="eastAsia"/>
          <w:kern w:val="0"/>
          <w:szCs w:val="20"/>
        </w:rPr>
        <w:t>，</w:t>
      </w:r>
      <w:r>
        <w:rPr>
          <w:kern w:val="0"/>
          <w:szCs w:val="20"/>
        </w:rPr>
        <w:t>抗压强度试验示意图如图1所示。</w:t>
      </w:r>
    </w:p>
    <w:p w14:paraId="4903C6F4">
      <w:pPr>
        <w:widowControl/>
        <w:tabs>
          <w:tab w:val="center" w:pos="4201"/>
          <w:tab w:val="right" w:leader="dot" w:pos="9298"/>
        </w:tabs>
        <w:autoSpaceDE w:val="0"/>
        <w:autoSpaceDN w:val="0"/>
        <w:spacing w:line="276" w:lineRule="auto"/>
        <w:rPr>
          <w:kern w:val="0"/>
          <w:szCs w:val="20"/>
        </w:rPr>
      </w:pPr>
      <w:bookmarkStart w:id="98" w:name="OLE_LINK6"/>
      <w:r>
        <w:rPr>
          <w:rFonts w:ascii="黑体" w:hAnsi="黑体" w:eastAsia="黑体"/>
          <w:kern w:val="0"/>
          <w:szCs w:val="21"/>
        </w:rPr>
        <w:t>A.3.2.2</w:t>
      </w:r>
      <w:bookmarkEnd w:id="98"/>
      <w:r>
        <w:rPr>
          <w:rFonts w:eastAsia="黑体"/>
          <w:kern w:val="0"/>
          <w:szCs w:val="20"/>
        </w:rPr>
        <w:t xml:space="preserve"> </w:t>
      </w:r>
      <w:r>
        <w:rPr>
          <w:kern w:val="0"/>
          <w:szCs w:val="20"/>
        </w:rPr>
        <w:t>加载速度为（0.1~0.5）mm/min。</w:t>
      </w:r>
    </w:p>
    <w:p w14:paraId="4016415D">
      <w:pPr>
        <w:widowControl/>
        <w:tabs>
          <w:tab w:val="center" w:pos="4201"/>
          <w:tab w:val="right" w:leader="dot" w:pos="9298"/>
        </w:tabs>
        <w:autoSpaceDE w:val="0"/>
        <w:autoSpaceDN w:val="0"/>
        <w:spacing w:line="276" w:lineRule="auto"/>
        <w:rPr>
          <w:kern w:val="0"/>
          <w:szCs w:val="20"/>
        </w:rPr>
      </w:pPr>
      <w:bookmarkStart w:id="99" w:name="OLE_LINK7"/>
      <w:r>
        <w:rPr>
          <w:rFonts w:ascii="黑体" w:hAnsi="黑体" w:eastAsia="黑体"/>
          <w:kern w:val="0"/>
          <w:szCs w:val="21"/>
        </w:rPr>
        <w:t>A.3.2.3</w:t>
      </w:r>
      <w:bookmarkEnd w:id="99"/>
      <w:r>
        <w:rPr>
          <w:rFonts w:eastAsia="黑体"/>
          <w:kern w:val="0"/>
          <w:szCs w:val="20"/>
        </w:rPr>
        <w:t xml:space="preserve"> </w:t>
      </w:r>
      <w:r>
        <w:rPr>
          <w:kern w:val="0"/>
          <w:szCs w:val="20"/>
        </w:rPr>
        <w:t>从测试开始至试样损毁应完整记录负载数据。</w:t>
      </w:r>
    </w:p>
    <w:p w14:paraId="1AA28633">
      <w:pPr>
        <w:widowControl/>
        <w:tabs>
          <w:tab w:val="center" w:pos="4201"/>
          <w:tab w:val="right" w:leader="dot" w:pos="9298"/>
        </w:tabs>
        <w:autoSpaceDE w:val="0"/>
        <w:autoSpaceDN w:val="0"/>
        <w:spacing w:line="276" w:lineRule="auto"/>
        <w:jc w:val="center"/>
        <w:rPr>
          <w:kern w:val="0"/>
          <w:szCs w:val="20"/>
        </w:rPr>
      </w:pPr>
      <w:r>
        <w:rPr>
          <w:kern w:val="0"/>
          <w:szCs w:val="20"/>
        </w:rPr>
        <w:drawing>
          <wp:inline distT="0" distB="0" distL="0" distR="0">
            <wp:extent cx="1308100" cy="978535"/>
            <wp:effectExtent l="0" t="0" r="6350" b="0"/>
            <wp:docPr id="10263283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328368" name="图片 1"/>
                    <pic:cNvPicPr>
                      <a:picLocks noChangeAspect="1" noChangeArrowheads="1"/>
                    </pic:cNvPicPr>
                  </pic:nvPicPr>
                  <pic:blipFill>
                    <a:blip r:embed="rId10">
                      <a:extLst>
                        <a:ext uri="{28A0092B-C50C-407E-A947-70E740481C1C}">
                          <a14:useLocalDpi xmlns:a14="http://schemas.microsoft.com/office/drawing/2010/main" val="0"/>
                        </a:ext>
                      </a:extLst>
                    </a:blip>
                    <a:srcRect l="14095" t="9239" r="7820" b="9428"/>
                    <a:stretch>
                      <a:fillRect/>
                    </a:stretch>
                  </pic:blipFill>
                  <pic:spPr>
                    <a:xfrm>
                      <a:off x="0" y="0"/>
                      <a:ext cx="1332763" cy="997050"/>
                    </a:xfrm>
                    <a:prstGeom prst="rect">
                      <a:avLst/>
                    </a:prstGeom>
                    <a:noFill/>
                    <a:ln>
                      <a:noFill/>
                    </a:ln>
                  </pic:spPr>
                </pic:pic>
              </a:graphicData>
            </a:graphic>
          </wp:inline>
        </w:drawing>
      </w:r>
    </w:p>
    <w:p w14:paraId="680311C4">
      <w:pPr>
        <w:widowControl/>
        <w:tabs>
          <w:tab w:val="center" w:pos="4201"/>
          <w:tab w:val="right" w:leader="dot" w:pos="9298"/>
        </w:tabs>
        <w:autoSpaceDE w:val="0"/>
        <w:autoSpaceDN w:val="0"/>
        <w:spacing w:line="276" w:lineRule="auto"/>
        <w:jc w:val="center"/>
        <w:rPr>
          <w:kern w:val="0"/>
          <w:szCs w:val="20"/>
        </w:rPr>
      </w:pPr>
      <w:r>
        <w:rPr>
          <w:kern w:val="0"/>
          <w:szCs w:val="20"/>
        </w:rPr>
        <w:t>说明：1-加压柱；2-试样；3-基座</w:t>
      </w:r>
    </w:p>
    <w:p w14:paraId="58CD71BB">
      <w:pPr>
        <w:widowControl/>
        <w:tabs>
          <w:tab w:val="center" w:pos="4201"/>
          <w:tab w:val="right" w:leader="dot" w:pos="9298"/>
        </w:tabs>
        <w:autoSpaceDE w:val="0"/>
        <w:autoSpaceDN w:val="0"/>
        <w:spacing w:line="276" w:lineRule="auto"/>
        <w:jc w:val="center"/>
        <w:rPr>
          <w:kern w:val="0"/>
          <w:szCs w:val="20"/>
        </w:rPr>
      </w:pPr>
      <w:r>
        <w:rPr>
          <w:kern w:val="0"/>
          <w:szCs w:val="20"/>
        </w:rPr>
        <w:t>图</w:t>
      </w:r>
      <w:r>
        <w:rPr>
          <w:rFonts w:hint="eastAsia"/>
          <w:kern w:val="0"/>
          <w:szCs w:val="20"/>
        </w:rPr>
        <w:t>A.1</w:t>
      </w:r>
      <w:r>
        <w:rPr>
          <w:kern w:val="0"/>
          <w:szCs w:val="20"/>
        </w:rPr>
        <w:t xml:space="preserve"> 抗压强度试验示意图</w:t>
      </w:r>
    </w:p>
    <w:p w14:paraId="36CF7CB0">
      <w:pPr>
        <w:widowControl/>
        <w:tabs>
          <w:tab w:val="center" w:pos="4201"/>
          <w:tab w:val="right" w:leader="dot" w:pos="9298"/>
        </w:tabs>
        <w:autoSpaceDE w:val="0"/>
        <w:autoSpaceDN w:val="0"/>
        <w:spacing w:line="276" w:lineRule="auto"/>
        <w:rPr>
          <w:kern w:val="0"/>
          <w:szCs w:val="20"/>
        </w:rPr>
      </w:pPr>
      <w:r>
        <w:rPr>
          <w:rFonts w:ascii="黑体" w:hAnsi="黑体" w:eastAsia="黑体"/>
          <w:kern w:val="0"/>
          <w:szCs w:val="21"/>
        </w:rPr>
        <w:t>A.3.2.4</w:t>
      </w:r>
      <w:r>
        <w:rPr>
          <w:rFonts w:eastAsia="黑体"/>
          <w:kern w:val="0"/>
          <w:szCs w:val="20"/>
        </w:rPr>
        <w:t xml:space="preserve"> </w:t>
      </w:r>
      <w:r>
        <w:rPr>
          <w:kern w:val="0"/>
          <w:szCs w:val="20"/>
        </w:rPr>
        <w:t>当加压柱和基座重复使用时，使用前应仔细检查接触面。如存在凹陷或缺损而又无法去除时，该部件不得继续使用。</w:t>
      </w:r>
    </w:p>
    <w:p w14:paraId="50EF49F9">
      <w:pPr>
        <w:pStyle w:val="153"/>
        <w:widowControl/>
        <w:numPr>
          <w:ilvl w:val="0"/>
          <w:numId w:val="16"/>
        </w:numPr>
        <w:tabs>
          <w:tab w:val="center" w:pos="4201"/>
          <w:tab w:val="right" w:leader="dot" w:pos="9298"/>
        </w:tabs>
        <w:autoSpaceDE w:val="0"/>
        <w:autoSpaceDN w:val="0"/>
        <w:spacing w:line="276" w:lineRule="auto"/>
        <w:ind w:firstLineChars="0"/>
        <w:rPr>
          <w:rFonts w:eastAsia="黑体"/>
          <w:kern w:val="0"/>
          <w:szCs w:val="20"/>
        </w:rPr>
      </w:pPr>
      <w:r>
        <w:rPr>
          <w:rFonts w:eastAsia="黑体"/>
          <w:kern w:val="0"/>
          <w:szCs w:val="20"/>
        </w:rPr>
        <w:t xml:space="preserve"> 结果与计算</w:t>
      </w:r>
    </w:p>
    <w:p w14:paraId="06F5ADBA">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在抗压强度试验中，应从测试开始至试样破裂绘制负载位移曲线。应记录每个负载与位移曲线中最大负载和最大负载位移。</w:t>
      </w:r>
    </w:p>
    <w:p w14:paraId="1A166B00">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最大负载（P）用于计算抗压强度，计算公式如下：</w:t>
      </w:r>
    </w:p>
    <w:p w14:paraId="69139BD7">
      <w:pPr>
        <w:widowControl/>
        <w:tabs>
          <w:tab w:val="center" w:pos="4201"/>
          <w:tab w:val="right" w:leader="dot" w:pos="9298"/>
        </w:tabs>
        <w:autoSpaceDE w:val="0"/>
        <w:autoSpaceDN w:val="0"/>
        <w:spacing w:line="276" w:lineRule="auto"/>
        <w:rPr>
          <w:kern w:val="0"/>
          <w:szCs w:val="20"/>
        </w:rPr>
      </w:pPr>
      <m:oMathPara>
        <m:oMathParaPr>
          <m:jc m:val="center"/>
        </m:oMathParaPr>
        <m:oMath>
          <w:bookmarkStart w:id="100" w:name="OLE_LINK8"/>
          <m:r>
            <m:rPr/>
            <w:rPr>
              <w:rFonts w:ascii="Cambria Math" w:hAnsi="Cambria Math"/>
              <w:kern w:val="0"/>
              <w:szCs w:val="20"/>
            </w:rPr>
            <m:t>σ</m:t>
          </m:r>
          <w:bookmarkEnd w:id="100"/>
          <m:r>
            <m:rPr>
              <m:sty m:val="p"/>
            </m:rPr>
            <w:rPr>
              <w:rFonts w:ascii="Cambria Math" w:hAnsi="Cambria Math"/>
              <w:kern w:val="0"/>
              <w:szCs w:val="20"/>
            </w:rPr>
            <m:t>=</m:t>
          </m:r>
          <m:f>
            <m:fPr>
              <m:ctrlPr>
                <w:rPr>
                  <w:rFonts w:ascii="Cambria Math" w:hAnsi="Cambria Math"/>
                  <w:i/>
                  <w:kern w:val="0"/>
                  <w:szCs w:val="20"/>
                </w:rPr>
              </m:ctrlPr>
            </m:fPr>
            <m:num>
              <m:r>
                <m:rPr/>
                <w:rPr>
                  <w:rFonts w:ascii="Cambria Math" w:hAnsi="Cambria Math"/>
                  <w:kern w:val="0"/>
                  <w:szCs w:val="20"/>
                </w:rPr>
                <m:t>P</m:t>
              </m:r>
              <m:ctrlPr>
                <w:rPr>
                  <w:rFonts w:ascii="Cambria Math" w:hAnsi="Cambria Math"/>
                  <w:i/>
                  <w:kern w:val="0"/>
                  <w:szCs w:val="20"/>
                </w:rPr>
              </m:ctrlPr>
            </m:num>
            <m:den>
              <m:r>
                <m:rPr/>
                <w:rPr>
                  <w:rFonts w:ascii="Cambria Math" w:hAnsi="Cambria Math"/>
                  <w:kern w:val="0"/>
                  <w:szCs w:val="20"/>
                </w:rPr>
                <m:t>A</m:t>
              </m:r>
              <m:ctrlPr>
                <w:rPr>
                  <w:rFonts w:ascii="Cambria Math" w:hAnsi="Cambria Math"/>
                  <w:i/>
                  <w:kern w:val="0"/>
                  <w:szCs w:val="20"/>
                </w:rPr>
              </m:ctrlPr>
            </m:den>
          </m:f>
        </m:oMath>
      </m:oMathPara>
    </w:p>
    <w:p w14:paraId="304E73D4">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式中：</w:t>
      </w:r>
    </w:p>
    <w:p w14:paraId="4CBE54FF">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σ — 试样抗压强度，单位为兆帕（MPa）；</w:t>
      </w:r>
    </w:p>
    <w:p w14:paraId="3CCF9154">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P — 每次试验的最大负载，单位为牛顿（N）；</w:t>
      </w:r>
    </w:p>
    <w:p w14:paraId="0207236E">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A — 每个试样的受力面积，单位为平方毫米（mm²）。</w:t>
      </w:r>
    </w:p>
    <w:p w14:paraId="66E6D341">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当试样为圆柱体时，A的计算方法如下：</w:t>
      </w:r>
    </w:p>
    <w:p w14:paraId="40434978">
      <w:pPr>
        <w:widowControl/>
        <w:tabs>
          <w:tab w:val="center" w:pos="4201"/>
          <w:tab w:val="right" w:leader="dot" w:pos="9298"/>
        </w:tabs>
        <w:autoSpaceDE w:val="0"/>
        <w:autoSpaceDN w:val="0"/>
        <w:spacing w:line="276" w:lineRule="auto"/>
        <w:rPr>
          <w:kern w:val="0"/>
          <w:szCs w:val="20"/>
        </w:rPr>
      </w:pPr>
      <m:oMathPara>
        <m:oMathParaPr>
          <m:jc m:val="center"/>
        </m:oMathParaPr>
        <m:oMath>
          <m:r>
            <m:rPr/>
            <w:rPr>
              <w:rFonts w:ascii="Cambria Math" w:hAnsi="Cambria Math"/>
              <w:kern w:val="0"/>
              <w:szCs w:val="20"/>
            </w:rPr>
            <m:t>A=</m:t>
          </m:r>
          <m:f>
            <m:fPr>
              <m:ctrlPr>
                <w:rPr>
                  <w:rFonts w:ascii="Cambria Math" w:hAnsi="Cambria Math"/>
                  <w:i/>
                  <w:kern w:val="0"/>
                  <w:szCs w:val="20"/>
                </w:rPr>
              </m:ctrlPr>
            </m:fPr>
            <m:num>
              <m:r>
                <m:rPr/>
                <w:rPr>
                  <w:rFonts w:ascii="Cambria Math" w:hAnsi="Cambria Math"/>
                  <w:kern w:val="0"/>
                  <w:szCs w:val="20"/>
                </w:rPr>
                <m:t>π×</m:t>
              </m:r>
              <m:sSup>
                <m:sSupPr>
                  <m:ctrlPr>
                    <w:rPr>
                      <w:rFonts w:ascii="Cambria Math" w:hAnsi="Cambria Math"/>
                      <w:i/>
                      <w:kern w:val="0"/>
                      <w:szCs w:val="20"/>
                    </w:rPr>
                  </m:ctrlPr>
                </m:sSupPr>
                <m:e>
                  <m:r>
                    <m:rPr/>
                    <w:rPr>
                      <w:rFonts w:ascii="Cambria Math" w:hAnsi="Cambria Math"/>
                      <w:kern w:val="0"/>
                      <w:szCs w:val="20"/>
                    </w:rPr>
                    <m:t>D</m:t>
                  </m:r>
                  <m:ctrlPr>
                    <w:rPr>
                      <w:rFonts w:ascii="Cambria Math" w:hAnsi="Cambria Math"/>
                      <w:i/>
                      <w:kern w:val="0"/>
                      <w:szCs w:val="20"/>
                    </w:rPr>
                  </m:ctrlPr>
                </m:e>
                <m:sup>
                  <m:r>
                    <m:rPr/>
                    <w:rPr>
                      <w:rFonts w:ascii="Cambria Math" w:hAnsi="Cambria Math"/>
                      <w:kern w:val="0"/>
                      <w:szCs w:val="20"/>
                    </w:rPr>
                    <m:t>2</m:t>
                  </m:r>
                  <m:ctrlPr>
                    <w:rPr>
                      <w:rFonts w:ascii="Cambria Math" w:hAnsi="Cambria Math"/>
                      <w:i/>
                      <w:kern w:val="0"/>
                      <w:szCs w:val="20"/>
                    </w:rPr>
                  </m:ctrlPr>
                </m:sup>
              </m:sSup>
              <m:ctrlPr>
                <w:rPr>
                  <w:rFonts w:ascii="Cambria Math" w:hAnsi="Cambria Math"/>
                  <w:i/>
                  <w:kern w:val="0"/>
                  <w:szCs w:val="20"/>
                </w:rPr>
              </m:ctrlPr>
            </m:num>
            <m:den>
              <m:r>
                <m:rPr/>
                <w:rPr>
                  <w:rFonts w:ascii="Cambria Math" w:hAnsi="Cambria Math"/>
                  <w:kern w:val="0"/>
                  <w:szCs w:val="20"/>
                </w:rPr>
                <m:t>4</m:t>
              </m:r>
              <m:ctrlPr>
                <w:rPr>
                  <w:rFonts w:ascii="Cambria Math" w:hAnsi="Cambria Math"/>
                  <w:i/>
                  <w:kern w:val="0"/>
                  <w:szCs w:val="20"/>
                </w:rPr>
              </m:ctrlPr>
            </m:den>
          </m:f>
        </m:oMath>
      </m:oMathPara>
    </w:p>
    <w:p w14:paraId="70665DCD">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式中：</w:t>
      </w:r>
    </w:p>
    <w:p w14:paraId="2229802E">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D — 每个试样的直径，单位为毫米（mm）。</w:t>
      </w:r>
    </w:p>
    <w:p w14:paraId="2D271E2F">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当试样为立方体时，A的计算方法如下：</w:t>
      </w:r>
    </w:p>
    <w:p w14:paraId="50BDB0C3">
      <w:pPr>
        <w:widowControl/>
        <w:tabs>
          <w:tab w:val="center" w:pos="4201"/>
          <w:tab w:val="right" w:leader="dot" w:pos="9298"/>
        </w:tabs>
        <w:autoSpaceDE w:val="0"/>
        <w:autoSpaceDN w:val="0"/>
        <w:spacing w:line="276" w:lineRule="auto"/>
        <w:ind w:firstLine="420" w:firstLineChars="200"/>
        <w:jc w:val="center"/>
        <w:rPr>
          <w:kern w:val="0"/>
          <w:szCs w:val="20"/>
        </w:rPr>
      </w:pPr>
      <w:r>
        <w:rPr>
          <w:kern w:val="0"/>
          <w:szCs w:val="20"/>
        </w:rPr>
        <w:t>A=L</w:t>
      </w:r>
      <w:r>
        <w:rPr>
          <w:kern w:val="0"/>
          <w:szCs w:val="20"/>
          <w:vertAlign w:val="superscript"/>
        </w:rPr>
        <w:t>2</w:t>
      </w:r>
    </w:p>
    <w:p w14:paraId="183311D1">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式中：</w:t>
      </w:r>
    </w:p>
    <w:p w14:paraId="3293D9EC">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L — 每个试样正方形边长，单位为毫米（mm）。</w:t>
      </w:r>
    </w:p>
    <w:p w14:paraId="01BA3073">
      <w:pPr>
        <w:pStyle w:val="49"/>
        <w:numPr>
          <w:ilvl w:val="0"/>
          <w:numId w:val="0"/>
        </w:numPr>
        <w:spacing w:before="312" w:after="312"/>
        <w:rPr>
          <w:rFonts w:ascii="Times New Roman"/>
          <w:szCs w:val="21"/>
        </w:rPr>
      </w:pPr>
      <w:bookmarkStart w:id="101" w:name="_Toc237247740"/>
      <w:r>
        <w:rPr>
          <w:rFonts w:hAnsi="黑体"/>
          <w:szCs w:val="21"/>
        </w:rPr>
        <w:t>A.4</w:t>
      </w:r>
      <w:r>
        <w:rPr>
          <w:rFonts w:ascii="Times New Roman"/>
          <w:szCs w:val="21"/>
        </w:rPr>
        <w:t xml:space="preserve"> 试验报告</w:t>
      </w:r>
      <w:bookmarkEnd w:id="101"/>
    </w:p>
    <w:p w14:paraId="5EE14E05">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应报告每个试验样品以下的信息：</w:t>
      </w:r>
    </w:p>
    <w:p w14:paraId="047AF009">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试验样品信息：样品规格、批次、数量等。</w:t>
      </w:r>
    </w:p>
    <w:p w14:paraId="7B57480E">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原始数据。</w:t>
      </w:r>
    </w:p>
    <w:p w14:paraId="17FD73C4">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最终结果和公差。</w:t>
      </w:r>
      <w:r>
        <w:rPr>
          <w:kern w:val="0"/>
          <w:szCs w:val="20"/>
        </w:rPr>
        <w:br w:type="page"/>
      </w:r>
    </w:p>
    <w:p w14:paraId="5FB8718D">
      <w:pPr>
        <w:pStyle w:val="24"/>
        <w:spacing w:line="276" w:lineRule="auto"/>
        <w:jc w:val="center"/>
        <w:rPr>
          <w:rFonts w:ascii="Times New Roman" w:eastAsia="黑体"/>
        </w:rPr>
      </w:pPr>
      <w:bookmarkStart w:id="102" w:name="OLE_LINK14"/>
      <w:r>
        <w:rPr>
          <w:rFonts w:ascii="Times New Roman" w:eastAsia="黑体"/>
        </w:rPr>
        <w:t xml:space="preserve">附 录 </w:t>
      </w:r>
      <w:r>
        <w:rPr>
          <w:rFonts w:ascii="黑体" w:hAnsi="黑体" w:eastAsia="黑体"/>
          <w:szCs w:val="21"/>
        </w:rPr>
        <w:t>B</w:t>
      </w:r>
    </w:p>
    <w:p w14:paraId="41E9073D">
      <w:pPr>
        <w:pStyle w:val="24"/>
        <w:spacing w:line="276" w:lineRule="auto"/>
        <w:jc w:val="center"/>
        <w:rPr>
          <w:rFonts w:ascii="Times New Roman" w:eastAsia="黑体"/>
        </w:rPr>
      </w:pPr>
      <w:r>
        <w:rPr>
          <w:rFonts w:ascii="Times New Roman" w:eastAsia="黑体"/>
        </w:rPr>
        <w:t>（资料性）</w:t>
      </w:r>
    </w:p>
    <w:p w14:paraId="23C780E9">
      <w:pPr>
        <w:pStyle w:val="24"/>
        <w:spacing w:line="276" w:lineRule="auto"/>
        <w:jc w:val="center"/>
        <w:rPr>
          <w:rFonts w:ascii="Times New Roman" w:eastAsia="黑体"/>
        </w:rPr>
      </w:pPr>
      <w:r>
        <w:rPr>
          <w:rFonts w:ascii="Times New Roman" w:eastAsia="黑体"/>
        </w:rPr>
        <w:t>碳酸钠和碳酸氢钠残留试验</w:t>
      </w:r>
    </w:p>
    <w:p w14:paraId="788A5DE2">
      <w:pPr>
        <w:pStyle w:val="49"/>
        <w:numPr>
          <w:ilvl w:val="0"/>
          <w:numId w:val="0"/>
        </w:numPr>
        <w:spacing w:before="312" w:after="312"/>
        <w:rPr>
          <w:rFonts w:ascii="Times New Roman"/>
          <w:szCs w:val="21"/>
        </w:rPr>
      </w:pPr>
      <w:bookmarkStart w:id="103" w:name="_Toc237247741"/>
      <w:bookmarkStart w:id="104" w:name="OLE_LINK15"/>
      <w:r>
        <w:rPr>
          <w:rFonts w:hAnsi="黑体"/>
          <w:szCs w:val="21"/>
        </w:rPr>
        <w:t>B.1</w:t>
      </w:r>
      <w:r>
        <w:rPr>
          <w:rFonts w:ascii="Times New Roman"/>
          <w:szCs w:val="21"/>
        </w:rPr>
        <w:t xml:space="preserve"> 原理</w:t>
      </w:r>
      <w:bookmarkEnd w:id="103"/>
    </w:p>
    <w:p w14:paraId="3A16A040">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本产品为蛋白组分，不溶于水，因此采用《中华人民共和国药典》（2025 版）四部通则 0841炽灼残渣检查法，先将本产品的有机成分去除，剩余的即为无机组分。将无机组分制备成溶液，参考《中华人民共和国药典》（202</w:t>
      </w:r>
      <w:r>
        <w:rPr>
          <w:rFonts w:hint="eastAsia"/>
          <w:kern w:val="0"/>
          <w:szCs w:val="20"/>
        </w:rPr>
        <w:t>5</w:t>
      </w:r>
      <w:r>
        <w:rPr>
          <w:kern w:val="0"/>
          <w:szCs w:val="20"/>
        </w:rPr>
        <w:t>版）四部 “无水碳酸钠含量”“碳酸氢钠含量”的酸碱滴定检测方法进行检测，可评价产品中可能出现的碳酸钠与碳酸氢钠残留。</w:t>
      </w:r>
    </w:p>
    <w:p w14:paraId="53ABF0E0">
      <w:pPr>
        <w:pStyle w:val="49"/>
        <w:numPr>
          <w:ilvl w:val="0"/>
          <w:numId w:val="0"/>
        </w:numPr>
        <w:spacing w:before="312" w:after="312"/>
        <w:rPr>
          <w:rFonts w:ascii="Times New Roman"/>
        </w:rPr>
      </w:pPr>
      <w:bookmarkStart w:id="105" w:name="_Toc237247742"/>
      <w:r>
        <w:rPr>
          <w:rFonts w:hAnsi="黑体"/>
          <w:szCs w:val="21"/>
        </w:rPr>
        <w:t>B.2</w:t>
      </w:r>
      <w:r>
        <w:rPr>
          <w:rFonts w:ascii="Times New Roman"/>
          <w:szCs w:val="21"/>
        </w:rPr>
        <w:t>仪器与试剂</w:t>
      </w:r>
      <w:bookmarkEnd w:id="105"/>
    </w:p>
    <w:p w14:paraId="30E696C2">
      <w:pPr>
        <w:widowControl/>
        <w:tabs>
          <w:tab w:val="center" w:pos="4201"/>
          <w:tab w:val="right" w:leader="dot" w:pos="9298"/>
        </w:tabs>
        <w:autoSpaceDE w:val="0"/>
        <w:autoSpaceDN w:val="0"/>
        <w:spacing w:line="276" w:lineRule="auto"/>
        <w:rPr>
          <w:rFonts w:eastAsia="黑体"/>
          <w:kern w:val="0"/>
          <w:szCs w:val="20"/>
        </w:rPr>
      </w:pPr>
      <w:r>
        <w:rPr>
          <w:rFonts w:ascii="黑体" w:hAnsi="黑体" w:eastAsia="黑体"/>
          <w:kern w:val="0"/>
          <w:szCs w:val="21"/>
        </w:rPr>
        <w:t>B.2.1</w:t>
      </w:r>
      <w:r>
        <w:rPr>
          <w:rFonts w:eastAsia="黑体"/>
          <w:kern w:val="0"/>
          <w:szCs w:val="20"/>
        </w:rPr>
        <w:t xml:space="preserve"> 仪器设备</w:t>
      </w:r>
    </w:p>
    <w:p w14:paraId="2654B46B">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所用仪器设备有直尺、坩埚。</w:t>
      </w:r>
    </w:p>
    <w:p w14:paraId="1A9A20E0">
      <w:pPr>
        <w:widowControl/>
        <w:tabs>
          <w:tab w:val="center" w:pos="4201"/>
          <w:tab w:val="right" w:leader="dot" w:pos="9298"/>
        </w:tabs>
        <w:autoSpaceDE w:val="0"/>
        <w:autoSpaceDN w:val="0"/>
        <w:spacing w:line="276" w:lineRule="auto"/>
        <w:rPr>
          <w:rFonts w:eastAsia="黑体"/>
          <w:kern w:val="0"/>
          <w:szCs w:val="20"/>
        </w:rPr>
      </w:pPr>
      <w:r>
        <w:rPr>
          <w:rFonts w:ascii="黑体" w:hAnsi="黑体" w:eastAsia="黑体"/>
          <w:kern w:val="0"/>
          <w:szCs w:val="21"/>
        </w:rPr>
        <w:t>B.2.2</w:t>
      </w:r>
      <w:r>
        <w:rPr>
          <w:rFonts w:eastAsia="黑体"/>
          <w:kern w:val="0"/>
          <w:szCs w:val="20"/>
        </w:rPr>
        <w:t xml:space="preserve"> 试剂</w:t>
      </w:r>
    </w:p>
    <w:p w14:paraId="2654A9DC">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实验用水应符合 GB/T 6682 的要求。</w:t>
      </w:r>
    </w:p>
    <w:p w14:paraId="47579CB9">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所用试剂为甲基红-溴甲酚绿混合指示液、盐酸滴定液。</w:t>
      </w:r>
    </w:p>
    <w:p w14:paraId="6B89D8DE">
      <w:pPr>
        <w:pStyle w:val="49"/>
        <w:numPr>
          <w:ilvl w:val="0"/>
          <w:numId w:val="0"/>
        </w:numPr>
        <w:spacing w:before="312" w:after="312"/>
        <w:rPr>
          <w:rFonts w:ascii="Times New Roman"/>
          <w:szCs w:val="21"/>
        </w:rPr>
      </w:pPr>
      <w:bookmarkStart w:id="106" w:name="_Toc237247743"/>
      <w:r>
        <w:rPr>
          <w:rFonts w:hAnsi="黑体"/>
          <w:szCs w:val="21"/>
        </w:rPr>
        <w:t>B.3</w:t>
      </w:r>
      <w:r>
        <w:rPr>
          <w:rFonts w:ascii="Times New Roman"/>
          <w:szCs w:val="21"/>
        </w:rPr>
        <w:t xml:space="preserve"> 试验方法</w:t>
      </w:r>
      <w:bookmarkEnd w:id="106"/>
    </w:p>
    <w:p w14:paraId="2AD6C4FD">
      <w:pPr>
        <w:widowControl/>
        <w:tabs>
          <w:tab w:val="center" w:pos="4201"/>
          <w:tab w:val="right" w:leader="dot" w:pos="9298"/>
        </w:tabs>
        <w:autoSpaceDE w:val="0"/>
        <w:autoSpaceDN w:val="0"/>
        <w:spacing w:line="276" w:lineRule="auto"/>
        <w:rPr>
          <w:rFonts w:eastAsia="黑体"/>
          <w:kern w:val="0"/>
          <w:szCs w:val="20"/>
        </w:rPr>
      </w:pPr>
      <w:r>
        <w:rPr>
          <w:rFonts w:ascii="黑体" w:hAnsi="黑体" w:eastAsia="黑体"/>
          <w:kern w:val="0"/>
          <w:szCs w:val="21"/>
        </w:rPr>
        <w:t>B.3.1</w:t>
      </w:r>
      <w:r>
        <w:rPr>
          <w:rFonts w:eastAsia="黑体"/>
          <w:kern w:val="0"/>
          <w:szCs w:val="20"/>
        </w:rPr>
        <w:t xml:space="preserve"> 样品处理</w:t>
      </w:r>
    </w:p>
    <w:p w14:paraId="0C4FF5CE">
      <w:pPr>
        <w:widowControl/>
        <w:tabs>
          <w:tab w:val="center" w:pos="4201"/>
          <w:tab w:val="right" w:leader="dot" w:pos="9298"/>
        </w:tabs>
        <w:autoSpaceDE w:val="0"/>
        <w:autoSpaceDN w:val="0"/>
        <w:spacing w:line="276" w:lineRule="auto"/>
        <w:ind w:firstLine="420" w:firstLineChars="200"/>
        <w:rPr>
          <w:kern w:val="0"/>
          <w:szCs w:val="20"/>
        </w:rPr>
      </w:pPr>
      <w:r>
        <w:rPr>
          <w:kern w:val="0"/>
          <w:szCs w:val="20"/>
        </w:rPr>
        <w:t>取样品1g，置炽灼至恒重的坩埚中，缓缓炽热，注意避免燃烧，至完全炭逐渐升高温度至650 °C，使样品完全灰化。</w:t>
      </w:r>
    </w:p>
    <w:p w14:paraId="4139105D">
      <w:pPr>
        <w:widowControl/>
        <w:tabs>
          <w:tab w:val="center" w:pos="4201"/>
          <w:tab w:val="right" w:leader="dot" w:pos="9298"/>
        </w:tabs>
        <w:autoSpaceDE w:val="0"/>
        <w:autoSpaceDN w:val="0"/>
        <w:spacing w:line="276" w:lineRule="auto"/>
        <w:rPr>
          <w:rFonts w:eastAsia="黑体"/>
          <w:kern w:val="0"/>
          <w:szCs w:val="20"/>
        </w:rPr>
      </w:pPr>
      <w:r>
        <w:rPr>
          <w:rFonts w:ascii="黑体" w:hAnsi="黑体" w:eastAsia="黑体"/>
          <w:kern w:val="0"/>
          <w:szCs w:val="21"/>
        </w:rPr>
        <w:t>B.3.2</w:t>
      </w:r>
      <w:r>
        <w:rPr>
          <w:rFonts w:eastAsia="黑体"/>
          <w:kern w:val="0"/>
          <w:szCs w:val="20"/>
        </w:rPr>
        <w:t xml:space="preserve"> 测定</w:t>
      </w:r>
    </w:p>
    <w:p w14:paraId="6FA01177">
      <w:pPr>
        <w:widowControl/>
        <w:tabs>
          <w:tab w:val="center" w:pos="4201"/>
          <w:tab w:val="right" w:leader="dot" w:pos="9298"/>
        </w:tabs>
        <w:autoSpaceDE w:val="0"/>
        <w:autoSpaceDN w:val="0"/>
        <w:spacing w:line="276" w:lineRule="auto"/>
        <w:ind w:firstLine="420" w:firstLineChars="200"/>
        <w:rPr>
          <w:kern w:val="0"/>
          <w:szCs w:val="20"/>
        </w:rPr>
      </w:pPr>
      <w:r>
        <w:rPr>
          <w:rFonts w:ascii="黑体" w:hAnsi="黑体" w:eastAsia="黑体"/>
          <w:kern w:val="0"/>
          <w:szCs w:val="21"/>
        </w:rPr>
        <w:t>B.3.2.1</w:t>
      </w:r>
      <w:r>
        <w:rPr>
          <w:rFonts w:eastAsia="黑体"/>
          <w:kern w:val="0"/>
          <w:szCs w:val="20"/>
        </w:rPr>
        <w:t xml:space="preserve"> </w:t>
      </w:r>
      <w:r>
        <w:rPr>
          <w:kern w:val="0"/>
          <w:szCs w:val="20"/>
        </w:rPr>
        <w:t>取样品加水50 mL，加甲基红-溴甲酚绿混合指示液10滴，用盐酸滴定液（0.01mol/L）滴定至溶液由绿色转变为紫红色，煮沸2分钟，冷却至室温。</w:t>
      </w:r>
    </w:p>
    <w:p w14:paraId="6ACAED27">
      <w:pPr>
        <w:widowControl/>
        <w:tabs>
          <w:tab w:val="center" w:pos="4201"/>
          <w:tab w:val="right" w:leader="dot" w:pos="9298"/>
        </w:tabs>
        <w:autoSpaceDE w:val="0"/>
        <w:autoSpaceDN w:val="0"/>
        <w:spacing w:line="276" w:lineRule="auto"/>
        <w:ind w:firstLine="420" w:firstLineChars="200"/>
        <w:rPr>
          <w:kern w:val="0"/>
          <w:szCs w:val="20"/>
        </w:rPr>
      </w:pPr>
      <w:r>
        <w:rPr>
          <w:rFonts w:ascii="黑体" w:hAnsi="黑体" w:eastAsia="黑体"/>
          <w:kern w:val="0"/>
          <w:szCs w:val="21"/>
        </w:rPr>
        <w:t xml:space="preserve">B.3.2.2 </w:t>
      </w:r>
      <w:r>
        <w:rPr>
          <w:kern w:val="0"/>
          <w:szCs w:val="20"/>
        </w:rPr>
        <w:t>继续滴定至溶液由绿色转变为暗紫色，并将滴定的结果用空白试验校正。</w:t>
      </w:r>
    </w:p>
    <w:p w14:paraId="05F8D2CE">
      <w:pPr>
        <w:widowControl/>
        <w:tabs>
          <w:tab w:val="center" w:pos="4201"/>
          <w:tab w:val="right" w:leader="dot" w:pos="9298"/>
        </w:tabs>
        <w:autoSpaceDE w:val="0"/>
        <w:autoSpaceDN w:val="0"/>
        <w:spacing w:line="276" w:lineRule="auto"/>
        <w:ind w:firstLine="420" w:firstLineChars="200"/>
        <w:rPr>
          <w:kern w:val="0"/>
          <w:szCs w:val="20"/>
        </w:rPr>
      </w:pPr>
      <w:r>
        <w:rPr>
          <w:rFonts w:ascii="黑体" w:hAnsi="黑体" w:eastAsia="黑体"/>
          <w:kern w:val="0"/>
          <w:szCs w:val="21"/>
        </w:rPr>
        <w:t>B.3.2.3</w:t>
      </w:r>
      <w:r>
        <w:rPr>
          <w:rFonts w:eastAsia="黑体"/>
          <w:kern w:val="0"/>
          <w:szCs w:val="20"/>
        </w:rPr>
        <w:t xml:space="preserve"> </w:t>
      </w:r>
      <w:r>
        <w:rPr>
          <w:kern w:val="0"/>
          <w:szCs w:val="20"/>
        </w:rPr>
        <w:t>记录盐酸滴定液的消耗体积。</w:t>
      </w:r>
    </w:p>
    <w:p w14:paraId="121E1F74">
      <w:pPr>
        <w:widowControl/>
        <w:tabs>
          <w:tab w:val="center" w:pos="4201"/>
          <w:tab w:val="right" w:leader="dot" w:pos="9298"/>
        </w:tabs>
        <w:autoSpaceDE w:val="0"/>
        <w:autoSpaceDN w:val="0"/>
        <w:spacing w:line="276" w:lineRule="auto"/>
        <w:rPr>
          <w:rFonts w:eastAsia="黑体"/>
          <w:kern w:val="0"/>
          <w:szCs w:val="20"/>
        </w:rPr>
      </w:pPr>
      <w:r>
        <w:rPr>
          <w:rFonts w:ascii="黑体" w:hAnsi="黑体" w:eastAsia="黑体"/>
          <w:kern w:val="0"/>
          <w:szCs w:val="21"/>
        </w:rPr>
        <w:t>B.3.3</w:t>
      </w:r>
      <w:r>
        <w:rPr>
          <w:rFonts w:eastAsia="黑体"/>
          <w:kern w:val="0"/>
          <w:szCs w:val="20"/>
        </w:rPr>
        <w:t xml:space="preserve"> 结果与计算</w:t>
      </w:r>
    </w:p>
    <w:bookmarkEnd w:id="104"/>
    <w:p w14:paraId="6E802E73">
      <w:pPr>
        <w:widowControl/>
        <w:tabs>
          <w:tab w:val="center" w:pos="4201"/>
          <w:tab w:val="right" w:leader="dot" w:pos="9298"/>
        </w:tabs>
        <w:autoSpaceDE w:val="0"/>
        <w:autoSpaceDN w:val="0"/>
        <w:spacing w:line="276" w:lineRule="auto"/>
        <w:ind w:firstLine="420" w:firstLineChars="200"/>
        <w:rPr>
          <w:kern w:val="0"/>
          <w:szCs w:val="20"/>
        </w:rPr>
      </w:pPr>
      <w:bookmarkStart w:id="107" w:name="OLE_LINK17"/>
      <w:r>
        <w:rPr>
          <w:kern w:val="0"/>
          <w:szCs w:val="20"/>
        </w:rPr>
        <w:t>按如下公式计算碳酸钠和碳酸氢钠残留量：</w:t>
      </w:r>
      <w:bookmarkEnd w:id="107"/>
    </w:p>
    <w:p w14:paraId="1D2A2D98">
      <w:pPr>
        <w:tabs>
          <w:tab w:val="left" w:pos="3037"/>
        </w:tabs>
        <w:spacing w:line="560" w:lineRule="exact"/>
        <w:jc w:val="center"/>
        <w:rPr>
          <w:sz w:val="24"/>
        </w:rPr>
      </w:pPr>
      <m:oMath>
        <m:sSub>
          <m:sSubPr>
            <m:ctrlPr>
              <w:rPr>
                <w:rFonts w:ascii="Cambria Math" w:hAnsi="Cambria Math"/>
                <w:i/>
                <w:sz w:val="24"/>
              </w:rPr>
            </m:ctrlPr>
          </m:sSubPr>
          <m:e>
            <m:r>
              <m:rPr/>
              <w:rPr>
                <w:rFonts w:ascii="Cambria Math" w:hAnsi="Cambria Math"/>
                <w:sz w:val="24"/>
              </w:rPr>
              <m:t>ω</m:t>
            </m:r>
            <m:ctrlPr>
              <w:rPr>
                <w:rFonts w:ascii="Cambria Math" w:hAnsi="Cambria Math"/>
                <w:i/>
                <w:sz w:val="24"/>
              </w:rPr>
            </m:ctrlPr>
          </m:e>
          <m:sub>
            <m:r>
              <m:rPr/>
              <w:rPr>
                <w:rFonts w:ascii="Cambria Math" w:hAnsi="Cambria Math"/>
                <w:sz w:val="24"/>
              </w:rPr>
              <m:t>1</m:t>
            </m:r>
            <m:ctrlPr>
              <w:rPr>
                <w:rFonts w:ascii="Cambria Math" w:hAnsi="Cambria Math"/>
                <w:i/>
                <w:sz w:val="24"/>
              </w:rPr>
            </m:ctrlPr>
          </m:sub>
        </m:sSub>
      </m:oMath>
      <w:r>
        <w:rPr>
          <w:sz w:val="24"/>
        </w:rPr>
        <w:t>=</w:t>
      </w:r>
      <m:oMath>
        <m:f>
          <m:fPr>
            <m:ctrlPr>
              <w:rPr>
                <w:rFonts w:ascii="Cambria Math" w:hAnsi="Cambria Math"/>
                <w:i/>
                <w:sz w:val="24"/>
              </w:rPr>
            </m:ctrlPr>
          </m:fPr>
          <m:num>
            <m:r>
              <m:rPr/>
              <w:rPr>
                <w:rFonts w:ascii="Cambria Math" w:hAnsi="Cambria Math"/>
                <w:sz w:val="24"/>
              </w:rPr>
              <m:t>c×</m:t>
            </m:r>
            <m:d>
              <m:dPr>
                <m:begChr m:val="["/>
                <m:endChr m:val="]"/>
                <m:ctrlPr>
                  <w:rPr>
                    <w:rFonts w:ascii="Cambria Math" w:hAnsi="Cambria Math"/>
                    <w:i/>
                    <w:sz w:val="24"/>
                  </w:rPr>
                </m:ctrlPr>
              </m:dPr>
              <m:e>
                <m:d>
                  <m:dPr>
                    <m:ctrlPr>
                      <w:rPr>
                        <w:rFonts w:ascii="Cambria Math" w:hAnsi="Cambria Math"/>
                        <w:i/>
                        <w:sz w:val="24"/>
                      </w:rPr>
                    </m:ctrlPr>
                  </m:dPr>
                  <m:e>
                    <m:r>
                      <m:rPr/>
                      <w:rPr>
                        <w:rFonts w:ascii="Cambria Math" w:hAnsi="Cambria Math"/>
                        <w:sz w:val="24"/>
                      </w:rPr>
                      <m:t>V−</m:t>
                    </m:r>
                    <m:sSub>
                      <m:sSubPr>
                        <m:ctrlPr>
                          <w:rPr>
                            <w:rFonts w:ascii="Cambria Math" w:hAnsi="Cambria Math"/>
                            <w:i/>
                            <w:sz w:val="24"/>
                          </w:rPr>
                        </m:ctrlPr>
                      </m:sSubPr>
                      <m:e>
                        <m:r>
                          <m:rPr/>
                          <w:rPr>
                            <w:rFonts w:ascii="Cambria Math" w:hAnsi="Cambria Math"/>
                            <w:sz w:val="24"/>
                          </w:rPr>
                          <m:t>V</m:t>
                        </m:r>
                        <m:ctrlPr>
                          <w:rPr>
                            <w:rFonts w:ascii="Cambria Math" w:hAnsi="Cambria Math"/>
                            <w:i/>
                            <w:sz w:val="24"/>
                          </w:rPr>
                        </m:ctrlPr>
                      </m:e>
                      <m:sub>
                        <m:r>
                          <m:rPr/>
                          <w:rPr>
                            <w:rFonts w:ascii="Cambria Math" w:hAnsi="Cambria Math"/>
                            <w:sz w:val="24"/>
                          </w:rPr>
                          <m:t>0</m:t>
                        </m:r>
                        <m:ctrlPr>
                          <w:rPr>
                            <w:rFonts w:ascii="Cambria Math" w:hAnsi="Cambria Math"/>
                            <w:i/>
                            <w:sz w:val="24"/>
                          </w:rPr>
                        </m:ctrlPr>
                      </m:sub>
                    </m:sSub>
                    <m:ctrlPr>
                      <w:rPr>
                        <w:rFonts w:ascii="Cambria Math" w:hAnsi="Cambria Math"/>
                        <w:i/>
                        <w:sz w:val="24"/>
                      </w:rPr>
                    </m:ctrlPr>
                  </m:e>
                </m:d>
                <m:ctrlPr>
                  <w:rPr>
                    <w:rFonts w:ascii="Cambria Math" w:hAnsi="Cambria Math"/>
                    <w:i/>
                    <w:sz w:val="24"/>
                  </w:rPr>
                </m:ctrlPr>
              </m:e>
            </m:d>
            <m:r>
              <m:rPr/>
              <w:rPr>
                <w:rFonts w:ascii="Cambria Math" w:hAnsi="Cambria Math"/>
                <w:sz w:val="24"/>
              </w:rPr>
              <m:t>×</m:t>
            </m:r>
            <m:sSub>
              <m:sSubPr>
                <m:ctrlPr>
                  <w:rPr>
                    <w:rFonts w:ascii="Cambria Math" w:hAnsi="Cambria Math"/>
                    <w:i/>
                    <w:sz w:val="24"/>
                  </w:rPr>
                </m:ctrlPr>
              </m:sSubPr>
              <m:e>
                <m:r>
                  <m:rPr/>
                  <w:rPr>
                    <w:rFonts w:ascii="Cambria Math" w:hAnsi="Cambria Math"/>
                    <w:sz w:val="24"/>
                  </w:rPr>
                  <m:t>M</m:t>
                </m:r>
                <m:ctrlPr>
                  <w:rPr>
                    <w:rFonts w:ascii="Cambria Math" w:hAnsi="Cambria Math"/>
                    <w:i/>
                    <w:sz w:val="24"/>
                  </w:rPr>
                </m:ctrlPr>
              </m:e>
              <m:sub>
                <m:r>
                  <m:rPr/>
                  <w:rPr>
                    <w:rFonts w:ascii="Cambria Math" w:hAnsi="Cambria Math"/>
                    <w:sz w:val="24"/>
                  </w:rPr>
                  <m:t>1</m:t>
                </m:r>
                <m:ctrlPr>
                  <w:rPr>
                    <w:rFonts w:ascii="Cambria Math" w:hAnsi="Cambria Math"/>
                    <w:i/>
                    <w:sz w:val="24"/>
                  </w:rPr>
                </m:ctrlPr>
              </m:sub>
            </m:sSub>
            <m:ctrlPr>
              <w:rPr>
                <w:rFonts w:ascii="Cambria Math" w:hAnsi="Cambria Math"/>
                <w:i/>
                <w:sz w:val="24"/>
              </w:rPr>
            </m:ctrlPr>
          </m:num>
          <m:den>
            <m:r>
              <m:rPr/>
              <w:rPr>
                <w:rFonts w:ascii="Cambria Math" w:hAnsi="Cambria Math"/>
                <w:sz w:val="24"/>
              </w:rPr>
              <m:t>m</m:t>
            </m:r>
            <m:ctrlPr>
              <w:rPr>
                <w:rFonts w:ascii="Cambria Math" w:hAnsi="Cambria Math"/>
                <w:i/>
                <w:sz w:val="24"/>
              </w:rPr>
            </m:ctrlPr>
          </m:den>
        </m:f>
      </m:oMath>
    </w:p>
    <w:p w14:paraId="7623EC58">
      <w:pPr>
        <w:tabs>
          <w:tab w:val="left" w:pos="3037"/>
        </w:tabs>
        <w:spacing w:line="560" w:lineRule="exact"/>
        <w:jc w:val="center"/>
        <w:rPr>
          <w:sz w:val="24"/>
        </w:rPr>
      </w:pPr>
      <m:oMath>
        <m:sSub>
          <m:sSubPr>
            <m:ctrlPr>
              <w:rPr>
                <w:rFonts w:ascii="Cambria Math" w:hAnsi="Cambria Math"/>
                <w:i/>
                <w:sz w:val="24"/>
              </w:rPr>
            </m:ctrlPr>
          </m:sSubPr>
          <m:e>
            <m:r>
              <m:rPr/>
              <w:rPr>
                <w:rFonts w:ascii="Cambria Math" w:hAnsi="Cambria Math"/>
                <w:sz w:val="24"/>
              </w:rPr>
              <m:t>ω</m:t>
            </m:r>
            <m:ctrlPr>
              <w:rPr>
                <w:rFonts w:ascii="Cambria Math" w:hAnsi="Cambria Math"/>
                <w:i/>
                <w:sz w:val="24"/>
              </w:rPr>
            </m:ctrlPr>
          </m:e>
          <m:sub>
            <m:r>
              <m:rPr/>
              <w:rPr>
                <w:rFonts w:ascii="Cambria Math" w:hAnsi="Cambria Math"/>
                <w:sz w:val="24"/>
              </w:rPr>
              <m:t>2</m:t>
            </m:r>
            <m:ctrlPr>
              <w:rPr>
                <w:rFonts w:ascii="Cambria Math" w:hAnsi="Cambria Math"/>
                <w:i/>
                <w:sz w:val="24"/>
              </w:rPr>
            </m:ctrlPr>
          </m:sub>
        </m:sSub>
      </m:oMath>
      <w:r>
        <w:rPr>
          <w:sz w:val="24"/>
        </w:rPr>
        <w:t>=</w:t>
      </w:r>
      <m:oMath>
        <m:f>
          <m:fPr>
            <m:ctrlPr>
              <w:rPr>
                <w:rFonts w:ascii="Cambria Math" w:hAnsi="Cambria Math"/>
                <w:i/>
                <w:sz w:val="24"/>
              </w:rPr>
            </m:ctrlPr>
          </m:fPr>
          <m:num>
            <m:r>
              <m:rPr/>
              <w:rPr>
                <w:rFonts w:ascii="Cambria Math" w:hAnsi="Cambria Math"/>
                <w:sz w:val="24"/>
              </w:rPr>
              <m:t>c×</m:t>
            </m:r>
            <m:d>
              <m:dPr>
                <m:begChr m:val="["/>
                <m:endChr m:val="]"/>
                <m:ctrlPr>
                  <w:rPr>
                    <w:rFonts w:ascii="Cambria Math" w:hAnsi="Cambria Math"/>
                    <w:i/>
                    <w:sz w:val="24"/>
                  </w:rPr>
                </m:ctrlPr>
              </m:dPr>
              <m:e>
                <m:d>
                  <m:dPr>
                    <m:ctrlPr>
                      <w:rPr>
                        <w:rFonts w:ascii="Cambria Math" w:hAnsi="Cambria Math"/>
                        <w:i/>
                        <w:sz w:val="24"/>
                      </w:rPr>
                    </m:ctrlPr>
                  </m:dPr>
                  <m:e>
                    <m:r>
                      <m:rPr/>
                      <w:rPr>
                        <w:rFonts w:ascii="Cambria Math" w:hAnsi="Cambria Math"/>
                        <w:sz w:val="24"/>
                      </w:rPr>
                      <m:t>V−</m:t>
                    </m:r>
                    <m:sSub>
                      <m:sSubPr>
                        <m:ctrlPr>
                          <w:rPr>
                            <w:rFonts w:ascii="Cambria Math" w:hAnsi="Cambria Math"/>
                            <w:i/>
                            <w:sz w:val="24"/>
                          </w:rPr>
                        </m:ctrlPr>
                      </m:sSubPr>
                      <m:e>
                        <m:r>
                          <m:rPr/>
                          <w:rPr>
                            <w:rFonts w:ascii="Cambria Math" w:hAnsi="Cambria Math"/>
                            <w:sz w:val="24"/>
                          </w:rPr>
                          <m:t>V</m:t>
                        </m:r>
                        <m:ctrlPr>
                          <w:rPr>
                            <w:rFonts w:ascii="Cambria Math" w:hAnsi="Cambria Math"/>
                            <w:i/>
                            <w:sz w:val="24"/>
                          </w:rPr>
                        </m:ctrlPr>
                      </m:e>
                      <m:sub>
                        <m:r>
                          <m:rPr/>
                          <w:rPr>
                            <w:rFonts w:ascii="Cambria Math" w:hAnsi="Cambria Math"/>
                            <w:sz w:val="24"/>
                          </w:rPr>
                          <m:t>0</m:t>
                        </m:r>
                        <m:ctrlPr>
                          <w:rPr>
                            <w:rFonts w:ascii="Cambria Math" w:hAnsi="Cambria Math"/>
                            <w:i/>
                            <w:sz w:val="24"/>
                          </w:rPr>
                        </m:ctrlPr>
                      </m:sub>
                    </m:sSub>
                    <m:ctrlPr>
                      <w:rPr>
                        <w:rFonts w:ascii="Cambria Math" w:hAnsi="Cambria Math"/>
                        <w:i/>
                        <w:sz w:val="24"/>
                      </w:rPr>
                    </m:ctrlPr>
                  </m:e>
                </m:d>
                <m:ctrlPr>
                  <w:rPr>
                    <w:rFonts w:ascii="Cambria Math" w:hAnsi="Cambria Math"/>
                    <w:i/>
                    <w:sz w:val="24"/>
                  </w:rPr>
                </m:ctrlPr>
              </m:e>
            </m:d>
            <m:r>
              <m:rPr/>
              <w:rPr>
                <w:rFonts w:ascii="Cambria Math" w:hAnsi="Cambria Math"/>
                <w:sz w:val="24"/>
              </w:rPr>
              <m:t>×</m:t>
            </m:r>
            <m:sSub>
              <m:sSubPr>
                <m:ctrlPr>
                  <w:rPr>
                    <w:rFonts w:ascii="Cambria Math" w:hAnsi="Cambria Math"/>
                    <w:i/>
                    <w:sz w:val="24"/>
                  </w:rPr>
                </m:ctrlPr>
              </m:sSubPr>
              <m:e>
                <m:r>
                  <m:rPr/>
                  <w:rPr>
                    <w:rFonts w:ascii="Cambria Math" w:hAnsi="Cambria Math"/>
                    <w:sz w:val="24"/>
                  </w:rPr>
                  <m:t>M</m:t>
                </m:r>
                <m:ctrlPr>
                  <w:rPr>
                    <w:rFonts w:ascii="Cambria Math" w:hAnsi="Cambria Math"/>
                    <w:i/>
                    <w:sz w:val="24"/>
                  </w:rPr>
                </m:ctrlPr>
              </m:e>
              <m:sub>
                <m:r>
                  <m:rPr/>
                  <w:rPr>
                    <w:rFonts w:ascii="Cambria Math" w:hAnsi="Cambria Math"/>
                    <w:sz w:val="24"/>
                  </w:rPr>
                  <m:t>2</m:t>
                </m:r>
                <m:ctrlPr>
                  <w:rPr>
                    <w:rFonts w:ascii="Cambria Math" w:hAnsi="Cambria Math"/>
                    <w:i/>
                    <w:sz w:val="24"/>
                  </w:rPr>
                </m:ctrlPr>
              </m:sub>
            </m:sSub>
            <m:ctrlPr>
              <w:rPr>
                <w:rFonts w:ascii="Cambria Math" w:hAnsi="Cambria Math"/>
                <w:i/>
                <w:sz w:val="24"/>
              </w:rPr>
            </m:ctrlPr>
          </m:num>
          <m:den>
            <m:r>
              <m:rPr/>
              <w:rPr>
                <w:rFonts w:ascii="Cambria Math" w:hAnsi="Cambria Math"/>
                <w:sz w:val="24"/>
              </w:rPr>
              <m:t>m</m:t>
            </m:r>
            <m:ctrlPr>
              <w:rPr>
                <w:rFonts w:ascii="Cambria Math" w:hAnsi="Cambria Math"/>
                <w:i/>
                <w:sz w:val="24"/>
              </w:rPr>
            </m:ctrlPr>
          </m:den>
        </m:f>
      </m:oMath>
    </w:p>
    <w:p w14:paraId="5B2EDAC9">
      <w:pPr>
        <w:tabs>
          <w:tab w:val="left" w:pos="3037"/>
        </w:tabs>
        <w:spacing w:line="560" w:lineRule="exact"/>
        <w:ind w:firstLine="420" w:firstLineChars="200"/>
        <w:rPr>
          <w:szCs w:val="21"/>
        </w:rPr>
      </w:pPr>
      <w:r>
        <w:rPr>
          <w:szCs w:val="21"/>
        </w:rPr>
        <w:t>式中:</w:t>
      </w:r>
    </w:p>
    <w:p w14:paraId="2F8C43BC">
      <w:pPr>
        <w:tabs>
          <w:tab w:val="left" w:pos="3037"/>
        </w:tabs>
        <w:spacing w:line="560" w:lineRule="exact"/>
        <w:ind w:firstLine="420" w:firstLineChars="200"/>
        <w:rPr>
          <w:szCs w:val="21"/>
        </w:rPr>
      </w:pPr>
      <m:oMath>
        <m:sSub>
          <m:sSubPr>
            <m:ctrlPr>
              <w:rPr>
                <w:rFonts w:ascii="Cambria Math" w:hAnsi="Cambria Math"/>
                <w:i/>
                <w:szCs w:val="21"/>
              </w:rPr>
            </m:ctrlPr>
          </m:sSubPr>
          <m:e>
            <m:r>
              <m:rPr/>
              <w:rPr>
                <w:rFonts w:ascii="Cambria Math" w:hAnsi="Cambria Math"/>
                <w:szCs w:val="21"/>
              </w:rPr>
              <m:t>ω</m:t>
            </m:r>
            <m:ctrlPr>
              <w:rPr>
                <w:rFonts w:ascii="Cambria Math" w:hAnsi="Cambria Math"/>
                <w:i/>
                <w:szCs w:val="21"/>
              </w:rPr>
            </m:ctrlPr>
          </m:e>
          <m:sub>
            <m:r>
              <m:rPr/>
              <w:rPr>
                <w:rFonts w:ascii="Cambria Math" w:hAnsi="Cambria Math"/>
                <w:szCs w:val="21"/>
              </w:rPr>
              <m:t>1</m:t>
            </m:r>
            <m:ctrlPr>
              <w:rPr>
                <w:rFonts w:ascii="Cambria Math" w:hAnsi="Cambria Math"/>
                <w:i/>
                <w:szCs w:val="21"/>
              </w:rPr>
            </m:ctrlPr>
          </m:sub>
        </m:sSub>
      </m:oMath>
      <w:r>
        <w:rPr>
          <w:szCs w:val="21"/>
        </w:rPr>
        <w:t>——以Na</w:t>
      </w:r>
      <w:r>
        <w:rPr>
          <w:szCs w:val="21"/>
          <w:vertAlign w:val="subscript"/>
        </w:rPr>
        <w:t>2</w:t>
      </w:r>
      <w:r>
        <w:rPr>
          <w:szCs w:val="21"/>
        </w:rPr>
        <w:t>CO</w:t>
      </w:r>
      <w:r>
        <w:rPr>
          <w:szCs w:val="21"/>
          <w:vertAlign w:val="subscript"/>
        </w:rPr>
        <w:t>3</w:t>
      </w:r>
      <w:r>
        <w:rPr>
          <w:szCs w:val="21"/>
        </w:rPr>
        <w:t>计算的质量分数，单位为毫克每克（mg/g）；</w:t>
      </w:r>
    </w:p>
    <w:p w14:paraId="330F60A9">
      <w:pPr>
        <w:widowControl/>
        <w:tabs>
          <w:tab w:val="center" w:pos="4201"/>
          <w:tab w:val="right" w:leader="dot" w:pos="9298"/>
        </w:tabs>
        <w:autoSpaceDE w:val="0"/>
        <w:autoSpaceDN w:val="0"/>
        <w:spacing w:line="276" w:lineRule="auto"/>
        <w:ind w:firstLine="420" w:firstLineChars="200"/>
        <w:rPr>
          <w:szCs w:val="21"/>
        </w:rPr>
      </w:pPr>
      <m:oMath>
        <m:sSub>
          <m:sSubPr>
            <m:ctrlPr>
              <w:rPr>
                <w:rFonts w:ascii="Cambria Math" w:hAnsi="Cambria Math"/>
                <w:i/>
                <w:szCs w:val="21"/>
              </w:rPr>
            </m:ctrlPr>
          </m:sSubPr>
          <m:e>
            <m:r>
              <m:rPr/>
              <w:rPr>
                <w:rFonts w:ascii="Cambria Math" w:hAnsi="Cambria Math"/>
                <w:szCs w:val="21"/>
              </w:rPr>
              <m:t>ω</m:t>
            </m:r>
            <m:ctrlPr>
              <w:rPr>
                <w:rFonts w:ascii="Cambria Math" w:hAnsi="Cambria Math"/>
                <w:i/>
                <w:szCs w:val="21"/>
              </w:rPr>
            </m:ctrlPr>
          </m:e>
          <m:sub>
            <m:r>
              <m:rPr/>
              <w:rPr>
                <w:rFonts w:ascii="Cambria Math" w:hAnsi="Cambria Math"/>
                <w:szCs w:val="21"/>
              </w:rPr>
              <m:t>2</m:t>
            </m:r>
            <m:ctrlPr>
              <w:rPr>
                <w:rFonts w:ascii="Cambria Math" w:hAnsi="Cambria Math"/>
                <w:i/>
                <w:szCs w:val="21"/>
              </w:rPr>
            </m:ctrlPr>
          </m:sub>
        </m:sSub>
      </m:oMath>
      <w:r>
        <w:rPr>
          <w:szCs w:val="21"/>
        </w:rPr>
        <w:t>——以</w:t>
      </w:r>
      <w:r>
        <w:rPr>
          <w:kern w:val="0"/>
          <w:szCs w:val="20"/>
        </w:rPr>
        <w:t>Na</w:t>
      </w:r>
      <w:r>
        <w:rPr>
          <w:kern w:val="0"/>
          <w:szCs w:val="20"/>
          <w:vertAlign w:val="subscript"/>
        </w:rPr>
        <w:t>2</w:t>
      </w:r>
      <w:r>
        <w:rPr>
          <w:kern w:val="0"/>
          <w:szCs w:val="20"/>
        </w:rPr>
        <w:t>HCO</w:t>
      </w:r>
      <w:r>
        <w:rPr>
          <w:kern w:val="0"/>
          <w:szCs w:val="20"/>
          <w:vertAlign w:val="subscript"/>
        </w:rPr>
        <w:t>3</w:t>
      </w:r>
      <w:r>
        <w:rPr>
          <w:szCs w:val="21"/>
        </w:rPr>
        <w:t>计算的质量分数，单位为毫克每克（mg/g）；</w:t>
      </w:r>
    </w:p>
    <w:p w14:paraId="6FFBF34E">
      <w:pPr>
        <w:tabs>
          <w:tab w:val="left" w:pos="3037"/>
        </w:tabs>
        <w:spacing w:line="276" w:lineRule="auto"/>
        <w:ind w:firstLine="420" w:firstLineChars="200"/>
        <w:rPr>
          <w:szCs w:val="21"/>
        </w:rPr>
      </w:pPr>
      <w:r>
        <w:rPr>
          <w:szCs w:val="21"/>
        </w:rPr>
        <w:t>c——盐酸标准滴定溶液的浓度，单位为摩尔每升（mol/L）；</w:t>
      </w:r>
    </w:p>
    <w:p w14:paraId="2FB1F537">
      <w:pPr>
        <w:tabs>
          <w:tab w:val="left" w:pos="3037"/>
        </w:tabs>
        <w:spacing w:line="276" w:lineRule="auto"/>
        <w:ind w:firstLine="420" w:firstLineChars="200"/>
        <w:rPr>
          <w:szCs w:val="21"/>
        </w:rPr>
      </w:pPr>
      <w:r>
        <w:rPr>
          <w:szCs w:val="21"/>
        </w:rPr>
        <w:t>V——滴定试样溶液所消耗盐酸标准滴定溶液的体积，单位为毫升（mL）；</w:t>
      </w:r>
    </w:p>
    <w:p w14:paraId="59191ED0">
      <w:pPr>
        <w:tabs>
          <w:tab w:val="left" w:pos="3037"/>
        </w:tabs>
        <w:spacing w:line="276" w:lineRule="auto"/>
        <w:ind w:firstLine="420" w:firstLineChars="200"/>
        <w:rPr>
          <w:szCs w:val="21"/>
        </w:rPr>
      </w:pPr>
      <w:r>
        <w:rPr>
          <w:szCs w:val="21"/>
        </w:rPr>
        <w:t>V0——滴定空白试验溶液所消耗的盐酸标准滴定溶液的体积，单位为毫升（mL）；</w:t>
      </w:r>
    </w:p>
    <w:p w14:paraId="33BFF79E">
      <w:pPr>
        <w:tabs>
          <w:tab w:val="left" w:pos="3037"/>
        </w:tabs>
        <w:spacing w:line="276" w:lineRule="auto"/>
        <w:ind w:firstLine="420" w:firstLineChars="200"/>
        <w:rPr>
          <w:szCs w:val="21"/>
        </w:rPr>
      </w:pPr>
      <w:r>
        <w:rPr>
          <w:szCs w:val="21"/>
        </w:rPr>
        <w:t>M1——碳酸钠的摩尔质量，单位为克每摩尔（g/mol）</w:t>
      </w:r>
      <m:oMath>
        <m:d>
          <m:dPr>
            <m:begChr m:val="["/>
            <m:endChr m:val="]"/>
            <m:ctrlPr>
              <w:rPr>
                <w:rFonts w:ascii="Cambria Math" w:hAnsi="Cambria Math"/>
                <w:szCs w:val="21"/>
              </w:rPr>
            </m:ctrlPr>
          </m:dPr>
          <m:e>
            <m:r>
              <m:rPr/>
              <w:rPr>
                <w:rFonts w:ascii="Cambria Math" w:hAnsi="Cambria Math"/>
                <w:szCs w:val="21"/>
              </w:rPr>
              <m:t>M</m:t>
            </m:r>
            <m:d>
              <m:dPr>
                <m:ctrlPr>
                  <w:rPr>
                    <w:rFonts w:ascii="Cambria Math" w:hAnsi="Cambria Math"/>
                    <w:szCs w:val="21"/>
                  </w:rPr>
                </m:ctrlPr>
              </m:dPr>
              <m:e>
                <m:f>
                  <m:fPr>
                    <m:ctrlPr>
                      <w:rPr>
                        <w:rFonts w:ascii="Cambria Math" w:hAnsi="Cambria Math"/>
                        <w:szCs w:val="21"/>
                      </w:rPr>
                    </m:ctrlPr>
                  </m:fPr>
                  <m:num>
                    <m:r>
                      <m:rPr>
                        <m:sty m:val="p"/>
                      </m:rPr>
                      <w:rPr>
                        <w:rFonts w:ascii="Cambria Math" w:hAnsi="Cambria Math"/>
                        <w:szCs w:val="21"/>
                      </w:rPr>
                      <m:t>1</m:t>
                    </m:r>
                    <m:ctrlPr>
                      <w:rPr>
                        <w:rFonts w:ascii="Cambria Math" w:hAnsi="Cambria Math"/>
                        <w:szCs w:val="21"/>
                      </w:rPr>
                    </m:ctrlPr>
                  </m:num>
                  <m:den>
                    <m:r>
                      <m:rPr>
                        <m:sty m:val="p"/>
                      </m:rPr>
                      <w:rPr>
                        <w:rFonts w:ascii="Cambria Math" w:hAnsi="Cambria Math"/>
                        <w:szCs w:val="21"/>
                      </w:rPr>
                      <m:t>2</m:t>
                    </m:r>
                    <m:ctrlPr>
                      <w:rPr>
                        <w:rFonts w:ascii="Cambria Math" w:hAnsi="Cambria Math"/>
                        <w:szCs w:val="21"/>
                      </w:rPr>
                    </m:ctrlPr>
                  </m:den>
                </m:f>
                <m:sSub>
                  <m:sSubPr>
                    <m:ctrlPr>
                      <w:rPr>
                        <w:rFonts w:ascii="Cambria Math" w:hAnsi="Cambria Math"/>
                        <w:szCs w:val="21"/>
                      </w:rPr>
                    </m:ctrlPr>
                  </m:sSubPr>
                  <m:e>
                    <m:r>
                      <m:rPr/>
                      <w:rPr>
                        <w:rFonts w:ascii="Cambria Math" w:hAnsi="Cambria Math"/>
                        <w:szCs w:val="21"/>
                      </w:rPr>
                      <m:t>Na</m:t>
                    </m:r>
                    <m:ctrlPr>
                      <w:rPr>
                        <w:rFonts w:ascii="Cambria Math" w:hAnsi="Cambria Math"/>
                        <w:szCs w:val="21"/>
                      </w:rPr>
                    </m:ctrlPr>
                  </m:e>
                  <m:sub>
                    <m:r>
                      <m:rPr>
                        <m:sty m:val="p"/>
                      </m:rPr>
                      <w:rPr>
                        <w:rFonts w:ascii="Cambria Math" w:hAnsi="Cambria Math"/>
                        <w:szCs w:val="21"/>
                      </w:rPr>
                      <m:t>2</m:t>
                    </m:r>
                    <m:ctrlPr>
                      <w:rPr>
                        <w:rFonts w:ascii="Cambria Math" w:hAnsi="Cambria Math"/>
                        <w:szCs w:val="21"/>
                      </w:rPr>
                    </m:ctrlPr>
                  </m:sub>
                </m:sSub>
                <m:sSub>
                  <m:sSubPr>
                    <m:ctrlPr>
                      <w:rPr>
                        <w:rFonts w:ascii="Cambria Math" w:hAnsi="Cambria Math"/>
                        <w:szCs w:val="21"/>
                      </w:rPr>
                    </m:ctrlPr>
                  </m:sSubPr>
                  <m:e>
                    <m:r>
                      <m:rPr/>
                      <w:rPr>
                        <w:rFonts w:ascii="Cambria Math" w:hAnsi="Cambria Math"/>
                        <w:szCs w:val="21"/>
                      </w:rPr>
                      <m:t>CO</m:t>
                    </m:r>
                    <m:ctrlPr>
                      <w:rPr>
                        <w:rFonts w:ascii="Cambria Math" w:hAnsi="Cambria Math"/>
                        <w:szCs w:val="21"/>
                      </w:rPr>
                    </m:ctrlPr>
                  </m:e>
                  <m:sub>
                    <m:r>
                      <m:rPr>
                        <m:sty m:val="p"/>
                      </m:rPr>
                      <w:rPr>
                        <w:rFonts w:ascii="Cambria Math" w:hAnsi="Cambria Math"/>
                        <w:szCs w:val="21"/>
                      </w:rPr>
                      <m:t>3</m:t>
                    </m:r>
                    <m:ctrlPr>
                      <w:rPr>
                        <w:rFonts w:ascii="Cambria Math" w:hAnsi="Cambria Math"/>
                        <w:szCs w:val="21"/>
                      </w:rPr>
                    </m:ctrlPr>
                  </m:sub>
                </m:sSub>
                <m:ctrlPr>
                  <w:rPr>
                    <w:rFonts w:ascii="Cambria Math" w:hAnsi="Cambria Math"/>
                    <w:szCs w:val="21"/>
                  </w:rPr>
                </m:ctrlPr>
              </m:e>
            </m:d>
            <m:r>
              <m:rPr>
                <m:sty m:val="p"/>
              </m:rPr>
              <w:rPr>
                <w:rFonts w:ascii="Cambria Math" w:hAnsi="Cambria Math"/>
                <w:szCs w:val="21"/>
              </w:rPr>
              <m:t>=52.99</m:t>
            </m:r>
            <m:ctrlPr>
              <w:rPr>
                <w:rFonts w:ascii="Cambria Math" w:hAnsi="Cambria Math"/>
                <w:szCs w:val="21"/>
              </w:rPr>
            </m:ctrlPr>
          </m:e>
        </m:d>
      </m:oMath>
      <w:r>
        <w:rPr>
          <w:szCs w:val="21"/>
        </w:rPr>
        <w:t>；</w:t>
      </w:r>
    </w:p>
    <w:p w14:paraId="668B2B02">
      <w:pPr>
        <w:tabs>
          <w:tab w:val="left" w:pos="3037"/>
        </w:tabs>
        <w:spacing w:line="276" w:lineRule="auto"/>
        <w:ind w:firstLine="420" w:firstLineChars="200"/>
        <w:rPr>
          <w:szCs w:val="21"/>
        </w:rPr>
      </w:pPr>
      <w:r>
        <w:rPr>
          <w:szCs w:val="21"/>
        </w:rPr>
        <w:t>M2——碳酸氢钠的摩尔质量，单位为克每摩尔（g/mol）</w:t>
      </w:r>
      <m:oMath>
        <m:d>
          <m:dPr>
            <m:begChr m:val="["/>
            <m:endChr m:val="]"/>
            <m:ctrlPr>
              <w:rPr>
                <w:rFonts w:ascii="Cambria Math" w:hAnsi="Cambria Math"/>
                <w:szCs w:val="21"/>
              </w:rPr>
            </m:ctrlPr>
          </m:dPr>
          <m:e>
            <m:r>
              <m:rPr/>
              <w:rPr>
                <w:rFonts w:ascii="Cambria Math" w:hAnsi="Cambria Math"/>
                <w:szCs w:val="21"/>
              </w:rPr>
              <m:t>M</m:t>
            </m:r>
            <m:d>
              <m:dPr>
                <m:ctrlPr>
                  <w:rPr>
                    <w:rFonts w:ascii="Cambria Math" w:hAnsi="Cambria Math"/>
                    <w:szCs w:val="21"/>
                  </w:rPr>
                </m:ctrlPr>
              </m:dPr>
              <m:e>
                <m:r>
                  <m:rPr/>
                  <w:rPr>
                    <w:rFonts w:ascii="Cambria Math" w:hAnsi="Cambria Math"/>
                    <w:szCs w:val="21"/>
                  </w:rPr>
                  <m:t>NaH</m:t>
                </m:r>
                <m:sSub>
                  <m:sSubPr>
                    <m:ctrlPr>
                      <w:rPr>
                        <w:rFonts w:ascii="Cambria Math" w:hAnsi="Cambria Math"/>
                        <w:szCs w:val="21"/>
                      </w:rPr>
                    </m:ctrlPr>
                  </m:sSubPr>
                  <m:e>
                    <m:r>
                      <m:rPr/>
                      <w:rPr>
                        <w:rFonts w:ascii="Cambria Math" w:hAnsi="Cambria Math"/>
                        <w:szCs w:val="21"/>
                      </w:rPr>
                      <m:t>CO</m:t>
                    </m:r>
                    <m:ctrlPr>
                      <w:rPr>
                        <w:rFonts w:ascii="Cambria Math" w:hAnsi="Cambria Math"/>
                        <w:szCs w:val="21"/>
                      </w:rPr>
                    </m:ctrlPr>
                  </m:e>
                  <m:sub>
                    <m:r>
                      <m:rPr>
                        <m:sty m:val="p"/>
                      </m:rPr>
                      <w:rPr>
                        <w:rFonts w:ascii="Cambria Math" w:hAnsi="Cambria Math"/>
                        <w:szCs w:val="21"/>
                      </w:rPr>
                      <m:t>3</m:t>
                    </m:r>
                    <m:ctrlPr>
                      <w:rPr>
                        <w:rFonts w:ascii="Cambria Math" w:hAnsi="Cambria Math"/>
                        <w:szCs w:val="21"/>
                      </w:rPr>
                    </m:ctrlPr>
                  </m:sub>
                </m:sSub>
                <m:ctrlPr>
                  <w:rPr>
                    <w:rFonts w:ascii="Cambria Math" w:hAnsi="Cambria Math"/>
                    <w:szCs w:val="21"/>
                  </w:rPr>
                </m:ctrlPr>
              </m:e>
            </m:d>
            <m:r>
              <m:rPr>
                <m:sty m:val="p"/>
              </m:rPr>
              <w:rPr>
                <w:rFonts w:ascii="Cambria Math" w:hAnsi="Cambria Math"/>
                <w:szCs w:val="21"/>
              </w:rPr>
              <m:t>=84.01</m:t>
            </m:r>
            <m:ctrlPr>
              <w:rPr>
                <w:rFonts w:ascii="Cambria Math" w:hAnsi="Cambria Math"/>
                <w:szCs w:val="21"/>
              </w:rPr>
            </m:ctrlPr>
          </m:e>
        </m:d>
      </m:oMath>
    </w:p>
    <w:p w14:paraId="03FDD7ED">
      <w:pPr>
        <w:tabs>
          <w:tab w:val="left" w:pos="3037"/>
        </w:tabs>
        <w:spacing w:line="276" w:lineRule="auto"/>
        <w:ind w:firstLine="420" w:firstLineChars="200"/>
        <w:rPr>
          <w:szCs w:val="21"/>
        </w:rPr>
      </w:pPr>
      <w:r>
        <w:rPr>
          <w:szCs w:val="21"/>
        </w:rPr>
        <w:t>m——试样的质量，单位为克（g）。</w:t>
      </w:r>
    </w:p>
    <w:p w14:paraId="3C515DAA">
      <w:pPr>
        <w:tabs>
          <w:tab w:val="left" w:pos="3037"/>
        </w:tabs>
        <w:spacing w:line="276" w:lineRule="auto"/>
        <w:ind w:firstLine="420" w:firstLineChars="200"/>
        <w:rPr>
          <w:szCs w:val="21"/>
        </w:rPr>
      </w:pPr>
      <w:r>
        <w:rPr>
          <w:szCs w:val="21"/>
        </w:rPr>
        <w:t>试验结果以平行测定结果的算术平均值为准。在重复性条件下获得的两次独立测定结果的绝对差值不大于0.2mg/g。</w:t>
      </w:r>
    </w:p>
    <w:p w14:paraId="23356A74">
      <w:pPr>
        <w:widowControl/>
        <w:tabs>
          <w:tab w:val="center" w:pos="4201"/>
          <w:tab w:val="right" w:leader="dot" w:pos="9298"/>
        </w:tabs>
        <w:autoSpaceDE w:val="0"/>
        <w:autoSpaceDN w:val="0"/>
        <w:spacing w:line="276" w:lineRule="auto"/>
        <w:ind w:firstLine="420" w:firstLineChars="200"/>
        <w:rPr>
          <w:kern w:val="0"/>
          <w:szCs w:val="20"/>
        </w:rPr>
      </w:pPr>
    </w:p>
    <w:bookmarkEnd w:id="102"/>
    <w:p w14:paraId="27D27DC6">
      <w:pPr>
        <w:widowControl/>
        <w:jc w:val="left"/>
        <w:rPr>
          <w:kern w:val="0"/>
          <w:szCs w:val="20"/>
        </w:rPr>
      </w:pPr>
      <w:r>
        <w:rPr>
          <w:kern w:val="0"/>
          <w:szCs w:val="20"/>
        </w:rPr>
        <w:br w:type="page"/>
      </w:r>
    </w:p>
    <w:p w14:paraId="5BE11C5B">
      <w:pPr>
        <w:pStyle w:val="49"/>
        <w:numPr>
          <w:ilvl w:val="0"/>
          <w:numId w:val="0"/>
        </w:numPr>
        <w:spacing w:before="312" w:after="312"/>
        <w:jc w:val="center"/>
        <w:rPr>
          <w:rFonts w:ascii="Times New Roman"/>
        </w:rPr>
      </w:pPr>
      <w:bookmarkStart w:id="108" w:name="_Toc237247744"/>
      <w:r>
        <w:rPr>
          <w:rFonts w:ascii="Times New Roman"/>
        </w:rPr>
        <w:t>参 考 文 献</w:t>
      </w:r>
      <w:bookmarkEnd w:id="108"/>
    </w:p>
    <w:p w14:paraId="20447BD1">
      <w:pPr>
        <w:pStyle w:val="153"/>
        <w:widowControl/>
        <w:numPr>
          <w:ilvl w:val="0"/>
          <w:numId w:val="17"/>
        </w:numPr>
        <w:tabs>
          <w:tab w:val="center" w:pos="4201"/>
          <w:tab w:val="right" w:leader="dot" w:pos="9298"/>
        </w:tabs>
        <w:autoSpaceDE w:val="0"/>
        <w:autoSpaceDN w:val="0"/>
        <w:spacing w:line="276" w:lineRule="auto"/>
        <w:ind w:firstLineChars="0"/>
        <w:rPr>
          <w:kern w:val="0"/>
          <w:szCs w:val="20"/>
        </w:rPr>
      </w:pPr>
      <w:bookmarkStart w:id="109" w:name="OLE_LINK10"/>
      <w:r>
        <w:rPr>
          <w:kern w:val="0"/>
          <w:szCs w:val="20"/>
        </w:rPr>
        <w:t>YY/T 1558.3-2017 外科植入物 磷酸钙 第3部分：羟基磷灰石和β-磷酸三钙骨替代物</w:t>
      </w:r>
    </w:p>
    <w:p w14:paraId="0AD4E563">
      <w:pPr>
        <w:pStyle w:val="153"/>
        <w:widowControl/>
        <w:numPr>
          <w:ilvl w:val="0"/>
          <w:numId w:val="17"/>
        </w:numPr>
        <w:tabs>
          <w:tab w:val="center" w:pos="4201"/>
          <w:tab w:val="right" w:leader="dot" w:pos="9298"/>
        </w:tabs>
        <w:autoSpaceDE w:val="0"/>
        <w:autoSpaceDN w:val="0"/>
        <w:spacing w:line="276" w:lineRule="auto"/>
        <w:ind w:firstLineChars="0"/>
        <w:rPr>
          <w:kern w:val="0"/>
          <w:szCs w:val="20"/>
        </w:rPr>
      </w:pPr>
      <w:r>
        <w:rPr>
          <w:kern w:val="0"/>
          <w:szCs w:val="20"/>
        </w:rPr>
        <w:t>YY/T 1950-2024 组织工程医疗器械 丝素蛋白</w:t>
      </w:r>
    </w:p>
    <w:p w14:paraId="2470BC17">
      <w:pPr>
        <w:pStyle w:val="153"/>
        <w:widowControl/>
        <w:numPr>
          <w:ilvl w:val="0"/>
          <w:numId w:val="17"/>
        </w:numPr>
        <w:tabs>
          <w:tab w:val="center" w:pos="4201"/>
          <w:tab w:val="right" w:leader="dot" w:pos="9298"/>
        </w:tabs>
        <w:autoSpaceDE w:val="0"/>
        <w:autoSpaceDN w:val="0"/>
        <w:spacing w:line="276" w:lineRule="auto"/>
        <w:ind w:firstLineChars="0"/>
        <w:rPr>
          <w:kern w:val="0"/>
          <w:szCs w:val="20"/>
        </w:rPr>
      </w:pPr>
      <w:r>
        <w:rPr>
          <w:kern w:val="0"/>
          <w:szCs w:val="20"/>
        </w:rPr>
        <w:t>YY/T 0640-2016 无源外科植入物通用要求</w:t>
      </w:r>
    </w:p>
    <w:p w14:paraId="13EC8FE1">
      <w:pPr>
        <w:pStyle w:val="153"/>
        <w:widowControl/>
        <w:numPr>
          <w:ilvl w:val="0"/>
          <w:numId w:val="17"/>
        </w:numPr>
        <w:tabs>
          <w:tab w:val="center" w:pos="4201"/>
          <w:tab w:val="right" w:leader="dot" w:pos="9298"/>
        </w:tabs>
        <w:autoSpaceDE w:val="0"/>
        <w:autoSpaceDN w:val="0"/>
        <w:spacing w:line="276" w:lineRule="auto"/>
        <w:ind w:firstLineChars="0"/>
        <w:rPr>
          <w:kern w:val="0"/>
          <w:szCs w:val="20"/>
        </w:rPr>
      </w:pPr>
      <w:r>
        <w:rPr>
          <w:kern w:val="0"/>
          <w:szCs w:val="20"/>
        </w:rPr>
        <w:t>《中华人民共和国药典》</w:t>
      </w:r>
      <w:r>
        <w:rPr>
          <w:rFonts w:hint="eastAsia"/>
          <w:kern w:val="0"/>
          <w:szCs w:val="20"/>
        </w:rPr>
        <w:t>(</w:t>
      </w:r>
      <w:r>
        <w:rPr>
          <w:kern w:val="0"/>
          <w:szCs w:val="20"/>
        </w:rPr>
        <w:t>2025年版</w:t>
      </w:r>
      <w:r>
        <w:rPr>
          <w:rFonts w:hint="eastAsia"/>
          <w:kern w:val="0"/>
          <w:szCs w:val="20"/>
        </w:rPr>
        <w:t>)</w:t>
      </w:r>
    </w:p>
    <w:p w14:paraId="40B4252D">
      <w:pPr>
        <w:pStyle w:val="153"/>
        <w:widowControl/>
        <w:numPr>
          <w:ilvl w:val="0"/>
          <w:numId w:val="17"/>
        </w:numPr>
        <w:tabs>
          <w:tab w:val="center" w:pos="4201"/>
          <w:tab w:val="right" w:leader="dot" w:pos="9298"/>
        </w:tabs>
        <w:autoSpaceDE w:val="0"/>
        <w:autoSpaceDN w:val="0"/>
        <w:spacing w:line="276" w:lineRule="auto"/>
        <w:ind w:firstLineChars="0"/>
        <w:rPr>
          <w:kern w:val="0"/>
          <w:szCs w:val="20"/>
        </w:rPr>
      </w:pPr>
      <w:r>
        <w:rPr>
          <w:kern w:val="0"/>
          <w:szCs w:val="20"/>
        </w:rPr>
        <w:t>GB/T 16886（所有部分） 医疗器械生物学评价</w:t>
      </w:r>
      <w:bookmarkEnd w:id="109"/>
    </w:p>
    <w:p w14:paraId="14BA613A">
      <w:pPr>
        <w:widowControl/>
        <w:tabs>
          <w:tab w:val="center" w:pos="4201"/>
          <w:tab w:val="right" w:leader="dot" w:pos="9298"/>
        </w:tabs>
        <w:autoSpaceDE w:val="0"/>
        <w:autoSpaceDN w:val="0"/>
        <w:spacing w:line="276" w:lineRule="auto"/>
        <w:rPr>
          <w:rFonts w:eastAsia="黑体"/>
          <w:kern w:val="0"/>
          <w:szCs w:val="20"/>
        </w:rPr>
      </w:pPr>
    </w:p>
    <w:p w14:paraId="6BC7461F">
      <w:pPr>
        <w:jc w:val="center"/>
        <w:rPr>
          <w:szCs w:val="21"/>
        </w:rPr>
      </w:pPr>
      <w:r>
        <w:rPr>
          <w:szCs w:val="21"/>
        </w:rPr>
        <w:pict>
          <v:rect id="_x0000_i1025" o:spt="1" style="height:1.2pt;width:108pt;" fillcolor="#000000" filled="t" stroked="f" coordsize="21600,21600" o:hr="t" o:hrstd="t" o:hrnoshade="t" o:hrpct="250" o:hralign="center">
            <v:path/>
            <v:fill on="t" focussize="0,0"/>
            <v:stroke on="f"/>
            <v:imagedata o:title=""/>
            <o:lock v:ext="edit"/>
            <w10:wrap type="none"/>
            <w10:anchorlock/>
          </v:rect>
        </w:pict>
      </w:r>
    </w:p>
    <w:p w14:paraId="273D2982">
      <w:pPr>
        <w:pStyle w:val="24"/>
        <w:spacing w:before="156" w:after="156"/>
        <w:rPr>
          <w:rFonts w:ascii="Times New Roman"/>
          <w:vanish/>
          <w:szCs w:val="21"/>
        </w:rPr>
      </w:pPr>
    </w:p>
    <w:sectPr>
      <w:footerReference r:id="rId8" w:type="default"/>
      <w:pgSz w:w="11906" w:h="16838"/>
      <w:pgMar w:top="1797" w:right="1274" w:bottom="1797" w:left="1440" w:header="1418" w:footer="1134" w:gutter="0"/>
      <w:pgNumType w:start="1"/>
      <w:cols w:space="425"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F2758">
    <w:pPr>
      <w:pStyle w:val="72"/>
    </w:pPr>
    <w:r>
      <w:fldChar w:fldCharType="begin"/>
    </w:r>
    <w:r>
      <w:instrText xml:space="preserve"> PAGE  \* MERGEFORMAT </w:instrText>
    </w:r>
    <w:r>
      <w:fldChar w:fldCharType="separate"/>
    </w:r>
    <w: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451E3">
    <w:pPr>
      <w:pStyle w:val="47"/>
    </w:pPr>
    <w:r>
      <w:fldChar w:fldCharType="begin"/>
    </w:r>
    <w:r>
      <w:instrText xml:space="preserve"> PAGE  \* MERGEFORMAT </w:instrText>
    </w:r>
    <w:r>
      <w:fldChar w:fldCharType="separate"/>
    </w:r>
    <w:r>
      <w:t>III</w:t>
    </w:r>
    <w:r>
      <w:fldChar w:fldCharType="end"/>
    </w:r>
  </w:p>
  <w:p w14:paraId="1FB62F3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70290185"/>
    </w:sdtPr>
    <w:sdtContent>
      <w:p w14:paraId="0798B015">
        <w:pPr>
          <w:pStyle w:val="18"/>
        </w:pPr>
        <w:r>
          <w:fldChar w:fldCharType="begin"/>
        </w:r>
        <w:r>
          <w:instrText xml:space="preserve">PAGE   \* MERGEFORMAT</w:instrText>
        </w:r>
        <w:r>
          <w:fldChar w:fldCharType="separate"/>
        </w:r>
        <w:r>
          <w:rPr>
            <w:lang w:val="zh-CN"/>
          </w:rPr>
          <w:t>7</w:t>
        </w:r>
        <w:r>
          <w:fldChar w:fldCharType="end"/>
        </w:r>
      </w:p>
    </w:sdtContent>
  </w:sdt>
  <w:p w14:paraId="07A7D22D">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95FDF">
    <w:pPr>
      <w:pStyle w:val="48"/>
    </w:pPr>
    <w:r>
      <w:t>T/CSBM 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4702D">
    <w:pPr>
      <w:pStyle w:val="48"/>
    </w:pPr>
    <w:r>
      <w:t>T/CSBM XXXXX—XXXX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B261D">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E367E9"/>
    <w:multiLevelType w:val="multilevel"/>
    <w:tmpl w:val="0AE367E9"/>
    <w:lvl w:ilvl="0" w:tentative="0">
      <w:start w:val="1"/>
      <w:numFmt w:val="none"/>
      <w:pStyle w:val="154"/>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1">
    <w:nsid w:val="0FB371A4"/>
    <w:multiLevelType w:val="multilevel"/>
    <w:tmpl w:val="0FB371A4"/>
    <w:lvl w:ilvl="0" w:tentative="0">
      <w:start w:val="1"/>
      <w:numFmt w:val="decimal"/>
      <w:suff w:val="space"/>
      <w:lvlText w:val="[%1]"/>
      <w:lvlJc w:val="left"/>
      <w:pPr>
        <w:ind w:left="440" w:hanging="440"/>
      </w:pPr>
      <w:rPr>
        <w:rFonts w:hint="default" w:ascii="Times New Roman" w:hAnsi="Times New Roman" w:cs="Times New Roman"/>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1B107BF7"/>
    <w:multiLevelType w:val="multilevel"/>
    <w:tmpl w:val="1B107BF7"/>
    <w:lvl w:ilvl="0" w:tentative="0">
      <w:start w:val="1"/>
      <w:numFmt w:val="decimal"/>
      <w:suff w:val="space"/>
      <w:lvlText w:val="4.15.%1"/>
      <w:lvlJc w:val="left"/>
      <w:pPr>
        <w:ind w:left="440" w:hanging="440"/>
      </w:pPr>
      <w:rPr>
        <w:rFonts w:hint="default" w:ascii="黑体" w:hAnsi="黑体" w:eastAsia="黑体"/>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1DBF583A"/>
    <w:multiLevelType w:val="multilevel"/>
    <w:tmpl w:val="1DBF583A"/>
    <w:lvl w:ilvl="0" w:tentative="0">
      <w:start w:val="1"/>
      <w:numFmt w:val="decimal"/>
      <w:pStyle w:val="69"/>
      <w:suff w:val="nothing"/>
      <w:lvlText w:val="注%1："/>
      <w:lvlJc w:val="left"/>
      <w:pPr>
        <w:ind w:left="874" w:hanging="448"/>
      </w:pPr>
      <w:rPr>
        <w:rFonts w:hint="eastAsia" w:ascii="黑体" w:eastAsia="黑体"/>
        <w:b w:val="0"/>
        <w:i w:val="0"/>
        <w:sz w:val="18"/>
        <w:szCs w:val="18"/>
        <w:vertAlign w:val="baseline"/>
      </w:rPr>
    </w:lvl>
    <w:lvl w:ilvl="1" w:tentative="0">
      <w:start w:val="1"/>
      <w:numFmt w:val="lowerLetter"/>
      <w:lvlText w:val="%2)"/>
      <w:lvlJc w:val="left"/>
      <w:pPr>
        <w:tabs>
          <w:tab w:val="left" w:pos="-444"/>
        </w:tabs>
        <w:ind w:left="548" w:hanging="629"/>
      </w:pPr>
      <w:rPr>
        <w:rFonts w:hint="eastAsia"/>
        <w:vertAlign w:val="baseline"/>
      </w:rPr>
    </w:lvl>
    <w:lvl w:ilvl="2" w:tentative="0">
      <w:start w:val="1"/>
      <w:numFmt w:val="lowerRoman"/>
      <w:lvlText w:val="%3."/>
      <w:lvlJc w:val="right"/>
      <w:pPr>
        <w:tabs>
          <w:tab w:val="left" w:pos="-444"/>
        </w:tabs>
        <w:ind w:left="548" w:hanging="629"/>
      </w:pPr>
      <w:rPr>
        <w:rFonts w:hint="eastAsia"/>
        <w:vertAlign w:val="baseline"/>
      </w:rPr>
    </w:lvl>
    <w:lvl w:ilvl="3" w:tentative="0">
      <w:start w:val="1"/>
      <w:numFmt w:val="decimal"/>
      <w:lvlText w:val="%4."/>
      <w:lvlJc w:val="left"/>
      <w:pPr>
        <w:tabs>
          <w:tab w:val="left" w:pos="-444"/>
        </w:tabs>
        <w:ind w:left="548" w:hanging="629"/>
      </w:pPr>
      <w:rPr>
        <w:rFonts w:hint="eastAsia"/>
        <w:vertAlign w:val="baseline"/>
      </w:rPr>
    </w:lvl>
    <w:lvl w:ilvl="4" w:tentative="0">
      <w:start w:val="1"/>
      <w:numFmt w:val="lowerLetter"/>
      <w:lvlText w:val="%5)"/>
      <w:lvlJc w:val="left"/>
      <w:pPr>
        <w:tabs>
          <w:tab w:val="left" w:pos="-444"/>
        </w:tabs>
        <w:ind w:left="548" w:hanging="629"/>
      </w:pPr>
      <w:rPr>
        <w:rFonts w:hint="eastAsia"/>
        <w:vertAlign w:val="baseline"/>
      </w:rPr>
    </w:lvl>
    <w:lvl w:ilvl="5" w:tentative="0">
      <w:start w:val="1"/>
      <w:numFmt w:val="lowerRoman"/>
      <w:lvlText w:val="%6."/>
      <w:lvlJc w:val="right"/>
      <w:pPr>
        <w:tabs>
          <w:tab w:val="left" w:pos="-444"/>
        </w:tabs>
        <w:ind w:left="548" w:hanging="629"/>
      </w:pPr>
      <w:rPr>
        <w:rFonts w:hint="eastAsia"/>
        <w:vertAlign w:val="baseline"/>
      </w:rPr>
    </w:lvl>
    <w:lvl w:ilvl="6" w:tentative="0">
      <w:start w:val="1"/>
      <w:numFmt w:val="decimal"/>
      <w:lvlText w:val="%7."/>
      <w:lvlJc w:val="left"/>
      <w:pPr>
        <w:tabs>
          <w:tab w:val="left" w:pos="-444"/>
        </w:tabs>
        <w:ind w:left="548" w:hanging="629"/>
      </w:pPr>
      <w:rPr>
        <w:rFonts w:hint="eastAsia"/>
        <w:vertAlign w:val="baseline"/>
      </w:rPr>
    </w:lvl>
    <w:lvl w:ilvl="7" w:tentative="0">
      <w:start w:val="1"/>
      <w:numFmt w:val="lowerLetter"/>
      <w:lvlText w:val="%8)"/>
      <w:lvlJc w:val="left"/>
      <w:pPr>
        <w:tabs>
          <w:tab w:val="left" w:pos="-444"/>
        </w:tabs>
        <w:ind w:left="548" w:hanging="629"/>
      </w:pPr>
      <w:rPr>
        <w:rFonts w:hint="eastAsia"/>
        <w:vertAlign w:val="baseline"/>
      </w:rPr>
    </w:lvl>
    <w:lvl w:ilvl="8" w:tentative="0">
      <w:start w:val="1"/>
      <w:numFmt w:val="lowerRoman"/>
      <w:lvlText w:val="%9."/>
      <w:lvlJc w:val="right"/>
      <w:pPr>
        <w:tabs>
          <w:tab w:val="left" w:pos="-444"/>
        </w:tabs>
        <w:ind w:left="548" w:hanging="629"/>
      </w:pPr>
      <w:rPr>
        <w:rFonts w:hint="eastAsia"/>
        <w:vertAlign w:val="baseline"/>
      </w:rPr>
    </w:lvl>
  </w:abstractNum>
  <w:abstractNum w:abstractNumId="4">
    <w:nsid w:val="1FC91163"/>
    <w:multiLevelType w:val="multilevel"/>
    <w:tmpl w:val="1FC91163"/>
    <w:lvl w:ilvl="0" w:tentative="0">
      <w:start w:val="1"/>
      <w:numFmt w:val="decimal"/>
      <w:pStyle w:val="49"/>
      <w:suff w:val="nothing"/>
      <w:lvlText w:val="%1　"/>
      <w:lvlJc w:val="left"/>
      <w:pPr>
        <w:ind w:left="142" w:firstLine="0"/>
      </w:pPr>
      <w:rPr>
        <w:rFonts w:hint="eastAsia" w:ascii="黑体" w:hAnsi="Times New Roman" w:eastAsia="黑体"/>
        <w:b w:val="0"/>
        <w:i w:val="0"/>
        <w:sz w:val="21"/>
        <w:szCs w:val="21"/>
      </w:rPr>
    </w:lvl>
    <w:lvl w:ilvl="1" w:tentative="0">
      <w:start w:val="1"/>
      <w:numFmt w:val="decimal"/>
      <w:suff w:val="space"/>
      <w:lvlText w:val="%1.%2"/>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pStyle w:val="50"/>
      <w:suff w:val="nothing"/>
      <w:lvlText w:val="%1.%2.%3　"/>
      <w:lvlJc w:val="left"/>
      <w:pPr>
        <w:ind w:left="420" w:firstLine="0"/>
      </w:pPr>
      <w:rPr>
        <w:rFonts w:hint="eastAsia" w:ascii="黑体" w:hAnsi="Times New Roman" w:eastAsia="黑体"/>
        <w:b w:val="0"/>
        <w:i w:val="0"/>
        <w:sz w:val="21"/>
      </w:rPr>
    </w:lvl>
    <w:lvl w:ilvl="3" w:tentative="0">
      <w:start w:val="1"/>
      <w:numFmt w:val="decimal"/>
      <w:pStyle w:val="55"/>
      <w:suff w:val="nothing"/>
      <w:lvlText w:val="%1.%2.%3.%4　"/>
      <w:lvlJc w:val="left"/>
      <w:pPr>
        <w:ind w:left="426" w:firstLine="0"/>
      </w:pPr>
      <w:rPr>
        <w:rFonts w:hint="eastAsia" w:ascii="黑体" w:hAnsi="Times New Roman" w:eastAsia="黑体"/>
        <w:b w:val="0"/>
        <w:i w:val="0"/>
        <w:sz w:val="21"/>
      </w:rPr>
    </w:lvl>
    <w:lvl w:ilvl="4" w:tentative="0">
      <w:start w:val="1"/>
      <w:numFmt w:val="decimal"/>
      <w:pStyle w:val="59"/>
      <w:suff w:val="nothing"/>
      <w:lvlText w:val="%1.%2.%3.%4.%5　"/>
      <w:lvlJc w:val="left"/>
      <w:pPr>
        <w:ind w:left="142" w:firstLine="0"/>
      </w:pPr>
      <w:rPr>
        <w:rFonts w:hint="eastAsia" w:ascii="黑体" w:hAnsi="Times New Roman" w:eastAsia="黑体"/>
        <w:b w:val="0"/>
        <w:i w:val="0"/>
        <w:sz w:val="21"/>
      </w:rPr>
    </w:lvl>
    <w:lvl w:ilvl="5" w:tentative="0">
      <w:start w:val="1"/>
      <w:numFmt w:val="decimal"/>
      <w:pStyle w:val="60"/>
      <w:suff w:val="nothing"/>
      <w:lvlText w:val="%1.%2.%3.%4.%5.%6　"/>
      <w:lvlJc w:val="left"/>
      <w:pPr>
        <w:ind w:left="142" w:firstLine="0"/>
      </w:pPr>
      <w:rPr>
        <w:rFonts w:hint="eastAsia" w:ascii="黑体" w:hAnsi="Times New Roman" w:eastAsia="黑体"/>
        <w:b w:val="0"/>
        <w:i w:val="0"/>
        <w:sz w:val="21"/>
      </w:rPr>
    </w:lvl>
    <w:lvl w:ilvl="6" w:tentative="0">
      <w:start w:val="1"/>
      <w:numFmt w:val="decimal"/>
      <w:suff w:val="nothing"/>
      <w:lvlText w:val="%1%2.%3.%4.%5.%6.%7　"/>
      <w:lvlJc w:val="left"/>
      <w:pPr>
        <w:ind w:left="142" w:firstLine="0"/>
      </w:pPr>
      <w:rPr>
        <w:rFonts w:hint="eastAsia" w:ascii="黑体" w:hAnsi="Times New Roman" w:eastAsia="黑体"/>
        <w:b w:val="0"/>
        <w:i w:val="0"/>
        <w:sz w:val="21"/>
      </w:rPr>
    </w:lvl>
    <w:lvl w:ilvl="7" w:tentative="0">
      <w:start w:val="1"/>
      <w:numFmt w:val="decimal"/>
      <w:lvlText w:val="%1.%2.%3.%4.%5.%6.%7.%8"/>
      <w:lvlJc w:val="left"/>
      <w:pPr>
        <w:tabs>
          <w:tab w:val="left" w:pos="4493"/>
        </w:tabs>
        <w:ind w:left="4111" w:hanging="1418"/>
      </w:pPr>
      <w:rPr>
        <w:rFonts w:hint="eastAsia"/>
      </w:rPr>
    </w:lvl>
    <w:lvl w:ilvl="8" w:tentative="0">
      <w:start w:val="1"/>
      <w:numFmt w:val="decimal"/>
      <w:lvlText w:val="%1.%2.%3.%4.%5.%6.%7.%8.%9"/>
      <w:lvlJc w:val="left"/>
      <w:pPr>
        <w:tabs>
          <w:tab w:val="left" w:pos="4919"/>
        </w:tabs>
        <w:ind w:left="4819" w:hanging="1700"/>
      </w:pPr>
      <w:rPr>
        <w:rFonts w:hint="eastAsia"/>
      </w:rPr>
    </w:lvl>
  </w:abstractNum>
  <w:abstractNum w:abstractNumId="5">
    <w:nsid w:val="2A8F7113"/>
    <w:multiLevelType w:val="multilevel"/>
    <w:tmpl w:val="2A8F7113"/>
    <w:lvl w:ilvl="0" w:tentative="0">
      <w:start w:val="1"/>
      <w:numFmt w:val="upperLetter"/>
      <w:pStyle w:val="102"/>
      <w:suff w:val="space"/>
      <w:lvlText w:val="%1"/>
      <w:lvlJc w:val="left"/>
      <w:pPr>
        <w:ind w:left="623" w:hanging="425"/>
      </w:pPr>
      <w:rPr>
        <w:rFonts w:hint="eastAsia"/>
      </w:rPr>
    </w:lvl>
    <w:lvl w:ilvl="1" w:tentative="0">
      <w:start w:val="1"/>
      <w:numFmt w:val="decimal"/>
      <w:pStyle w:val="103"/>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6">
    <w:nsid w:val="2C5917C3"/>
    <w:multiLevelType w:val="multilevel"/>
    <w:tmpl w:val="2C5917C3"/>
    <w:lvl w:ilvl="0" w:tentative="0">
      <w:start w:val="1"/>
      <w:numFmt w:val="none"/>
      <w:suff w:val="nothing"/>
      <w:lvlText w:val="%1——"/>
      <w:lvlJc w:val="left"/>
      <w:pPr>
        <w:ind w:left="833" w:hanging="408"/>
      </w:pPr>
      <w:rPr>
        <w:rFonts w:hint="eastAsia"/>
      </w:rPr>
    </w:lvl>
    <w:lvl w:ilvl="1" w:tentative="0">
      <w:start w:val="1"/>
      <w:numFmt w:val="bullet"/>
      <w:pStyle w:val="53"/>
      <w:lvlText w:val=""/>
      <w:lvlJc w:val="left"/>
      <w:pPr>
        <w:tabs>
          <w:tab w:val="left" w:pos="760"/>
        </w:tabs>
        <w:ind w:left="1264" w:hanging="413"/>
      </w:pPr>
      <w:rPr>
        <w:rFonts w:hint="default" w:ascii="Symbol" w:hAnsi="Symbol"/>
        <w:color w:val="auto"/>
      </w:rPr>
    </w:lvl>
    <w:lvl w:ilvl="2" w:tentative="0">
      <w:start w:val="1"/>
      <w:numFmt w:val="bullet"/>
      <w:pStyle w:val="64"/>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7">
    <w:nsid w:val="3D733618"/>
    <w:multiLevelType w:val="multilevel"/>
    <w:tmpl w:val="3D733618"/>
    <w:lvl w:ilvl="0" w:tentative="0">
      <w:start w:val="1"/>
      <w:numFmt w:val="decimal"/>
      <w:pStyle w:val="25"/>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8">
    <w:nsid w:val="44C50F90"/>
    <w:multiLevelType w:val="multilevel"/>
    <w:tmpl w:val="44C50F90"/>
    <w:lvl w:ilvl="0" w:tentative="0">
      <w:start w:val="1"/>
      <w:numFmt w:val="lowerLetter"/>
      <w:pStyle w:val="63"/>
      <w:lvlText w:val="%1)"/>
      <w:lvlJc w:val="left"/>
      <w:pPr>
        <w:tabs>
          <w:tab w:val="left" w:pos="840"/>
        </w:tabs>
        <w:ind w:left="839" w:hanging="419"/>
      </w:pPr>
      <w:rPr>
        <w:rFonts w:hint="eastAsia" w:ascii="宋体" w:eastAsia="宋体"/>
        <w:b w:val="0"/>
        <w:i w:val="0"/>
        <w:sz w:val="21"/>
        <w:szCs w:val="21"/>
      </w:rPr>
    </w:lvl>
    <w:lvl w:ilvl="1" w:tentative="0">
      <w:start w:val="1"/>
      <w:numFmt w:val="decimal"/>
      <w:pStyle w:val="58"/>
      <w:lvlText w:val="%2)"/>
      <w:lvlJc w:val="left"/>
      <w:pPr>
        <w:tabs>
          <w:tab w:val="left" w:pos="1260"/>
        </w:tabs>
        <w:ind w:left="1259" w:hanging="419"/>
      </w:pPr>
      <w:rPr>
        <w:rFonts w:hint="eastAsia"/>
      </w:rPr>
    </w:lvl>
    <w:lvl w:ilvl="2" w:tentative="0">
      <w:start w:val="1"/>
      <w:numFmt w:val="decimal"/>
      <w:pStyle w:val="65"/>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9">
    <w:nsid w:val="45F62F0B"/>
    <w:multiLevelType w:val="multilevel"/>
    <w:tmpl w:val="45F62F0B"/>
    <w:lvl w:ilvl="0" w:tentative="0">
      <w:start w:val="1"/>
      <w:numFmt w:val="decimal"/>
      <w:suff w:val="space"/>
      <w:lvlText w:val="A.3.%1"/>
      <w:lvlJc w:val="left"/>
      <w:pPr>
        <w:ind w:left="440" w:hanging="440"/>
      </w:pPr>
      <w:rPr>
        <w:rFonts w:hint="default" w:ascii="黑体" w:hAnsi="黑体" w:eastAsia="黑体" w:cs="Times New Roman"/>
        <w:b w:val="0"/>
        <w:bCs/>
        <w:sz w:val="21"/>
        <w:szCs w:val="21"/>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
    <w:nsid w:val="464A4447"/>
    <w:multiLevelType w:val="multilevel"/>
    <w:tmpl w:val="464A4447"/>
    <w:lvl w:ilvl="0" w:tentative="0">
      <w:start w:val="1"/>
      <w:numFmt w:val="decimal"/>
      <w:suff w:val="space"/>
      <w:lvlText w:val="A.2.%1"/>
      <w:lvlJc w:val="left"/>
      <w:pPr>
        <w:ind w:left="440" w:hanging="440"/>
      </w:pPr>
      <w:rPr>
        <w:rFonts w:hint="default" w:ascii="黑体" w:hAnsi="黑体" w:eastAsia="黑体" w:cs="Times New Roman"/>
        <w:b w:val="0"/>
        <w:bCs/>
        <w:sz w:val="21"/>
        <w:szCs w:val="21"/>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
    <w:nsid w:val="60B55DC2"/>
    <w:multiLevelType w:val="multilevel"/>
    <w:tmpl w:val="60B55DC2"/>
    <w:lvl w:ilvl="0" w:tentative="0">
      <w:start w:val="1"/>
      <w:numFmt w:val="upperLetter"/>
      <w:pStyle w:val="90"/>
      <w:lvlText w:val="%1"/>
      <w:lvlJc w:val="left"/>
      <w:pPr>
        <w:tabs>
          <w:tab w:val="left" w:pos="0"/>
        </w:tabs>
        <w:ind w:left="0" w:hanging="425"/>
      </w:pPr>
      <w:rPr>
        <w:rFonts w:hint="eastAsia"/>
      </w:rPr>
    </w:lvl>
    <w:lvl w:ilvl="1" w:tentative="0">
      <w:start w:val="1"/>
      <w:numFmt w:val="decimal"/>
      <w:pStyle w:val="91"/>
      <w:suff w:val="nothing"/>
      <w:lvlText w:val="表%1.%2　"/>
      <w:lvlJc w:val="left"/>
      <w:pPr>
        <w:ind w:left="3402"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2">
    <w:nsid w:val="657D3FBC"/>
    <w:multiLevelType w:val="multilevel"/>
    <w:tmpl w:val="657D3FBC"/>
    <w:lvl w:ilvl="0" w:tentative="0">
      <w:start w:val="1"/>
      <w:numFmt w:val="upperLetter"/>
      <w:pStyle w:val="88"/>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06"/>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07"/>
      <w:suff w:val="nothing"/>
      <w:lvlText w:val="%1.%2.%3　"/>
      <w:lvlJc w:val="left"/>
      <w:pPr>
        <w:ind w:left="0" w:firstLine="0"/>
      </w:pPr>
      <w:rPr>
        <w:rFonts w:hint="eastAsia" w:ascii="黑体" w:hAnsi="Times New Roman" w:eastAsia="黑体"/>
        <w:b w:val="0"/>
        <w:i w:val="0"/>
        <w:sz w:val="21"/>
      </w:rPr>
    </w:lvl>
    <w:lvl w:ilvl="3" w:tentative="0">
      <w:start w:val="1"/>
      <w:numFmt w:val="decimal"/>
      <w:pStyle w:val="92"/>
      <w:suff w:val="nothing"/>
      <w:lvlText w:val="%1.%2.%3.%4　"/>
      <w:lvlJc w:val="left"/>
      <w:pPr>
        <w:ind w:left="0" w:firstLine="0"/>
      </w:pPr>
      <w:rPr>
        <w:rFonts w:hint="eastAsia" w:ascii="黑体" w:hAnsi="Times New Roman" w:eastAsia="黑体"/>
        <w:b w:val="0"/>
        <w:i w:val="0"/>
        <w:sz w:val="21"/>
      </w:rPr>
    </w:lvl>
    <w:lvl w:ilvl="4" w:tentative="0">
      <w:start w:val="1"/>
      <w:numFmt w:val="decimal"/>
      <w:pStyle w:val="97"/>
      <w:suff w:val="nothing"/>
      <w:lvlText w:val="%1.%2.%3.%4.%5　"/>
      <w:lvlJc w:val="left"/>
      <w:pPr>
        <w:ind w:left="0" w:firstLine="0"/>
      </w:pPr>
      <w:rPr>
        <w:rFonts w:hint="eastAsia" w:ascii="黑体" w:hAnsi="Times New Roman" w:eastAsia="黑体"/>
        <w:b w:val="0"/>
        <w:i w:val="0"/>
        <w:sz w:val="21"/>
      </w:rPr>
    </w:lvl>
    <w:lvl w:ilvl="5" w:tentative="0">
      <w:start w:val="1"/>
      <w:numFmt w:val="decimal"/>
      <w:pStyle w:val="100"/>
      <w:suff w:val="nothing"/>
      <w:lvlText w:val="%1.%2.%3.%4.%5.%6　"/>
      <w:lvlJc w:val="left"/>
      <w:pPr>
        <w:ind w:left="0" w:firstLine="0"/>
      </w:pPr>
      <w:rPr>
        <w:rFonts w:hint="eastAsia" w:ascii="黑体" w:hAnsi="Times New Roman" w:eastAsia="黑体"/>
        <w:b w:val="0"/>
        <w:i w:val="0"/>
        <w:sz w:val="21"/>
      </w:rPr>
    </w:lvl>
    <w:lvl w:ilvl="6" w:tentative="0">
      <w:start w:val="1"/>
      <w:numFmt w:val="decimal"/>
      <w:pStyle w:val="104"/>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3">
    <w:nsid w:val="6D6C07CD"/>
    <w:multiLevelType w:val="multilevel"/>
    <w:tmpl w:val="6D6C07CD"/>
    <w:lvl w:ilvl="0" w:tentative="0">
      <w:start w:val="1"/>
      <w:numFmt w:val="lowerLetter"/>
      <w:pStyle w:val="109"/>
      <w:lvlText w:val="%1)"/>
      <w:lvlJc w:val="left"/>
      <w:pPr>
        <w:tabs>
          <w:tab w:val="left" w:pos="839"/>
        </w:tabs>
        <w:ind w:left="839" w:hanging="419"/>
      </w:pPr>
      <w:rPr>
        <w:rFonts w:hint="eastAsia" w:ascii="宋体" w:eastAsia="宋体"/>
        <w:b w:val="0"/>
        <w:i w:val="0"/>
        <w:sz w:val="21"/>
      </w:rPr>
    </w:lvl>
    <w:lvl w:ilvl="1" w:tentative="0">
      <w:start w:val="1"/>
      <w:numFmt w:val="decimal"/>
      <w:pStyle w:val="99"/>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4">
    <w:nsid w:val="6DBF04F4"/>
    <w:multiLevelType w:val="multilevel"/>
    <w:tmpl w:val="6DBF04F4"/>
    <w:lvl w:ilvl="0" w:tentative="0">
      <w:start w:val="1"/>
      <w:numFmt w:val="none"/>
      <w:pStyle w:val="61"/>
      <w:suff w:val="nothing"/>
      <w:lvlText w:val="%1注："/>
      <w:lvlJc w:val="left"/>
      <w:pPr>
        <w:ind w:left="2348" w:hanging="363"/>
      </w:pPr>
      <w:rPr>
        <w:rFonts w:hint="eastAsia" w:ascii="黑体" w:hAnsi="Times New Roman" w:eastAsia="黑体"/>
        <w:b w:val="0"/>
        <w:i w:val="0"/>
        <w:sz w:val="21"/>
        <w:szCs w:val="21"/>
        <w:lang w:val="en-US"/>
      </w:rPr>
    </w:lvl>
    <w:lvl w:ilvl="1" w:tentative="0">
      <w:start w:val="1"/>
      <w:numFmt w:val="lowerLetter"/>
      <w:lvlText w:val="%2)"/>
      <w:lvlJc w:val="left"/>
      <w:pPr>
        <w:tabs>
          <w:tab w:val="left" w:pos="3786"/>
        </w:tabs>
        <w:ind w:left="3372" w:hanging="363"/>
      </w:pPr>
      <w:rPr>
        <w:rFonts w:hint="eastAsia"/>
      </w:rPr>
    </w:lvl>
    <w:lvl w:ilvl="2" w:tentative="0">
      <w:start w:val="1"/>
      <w:numFmt w:val="lowerRoman"/>
      <w:lvlText w:val="%3."/>
      <w:lvlJc w:val="right"/>
      <w:pPr>
        <w:tabs>
          <w:tab w:val="left" w:pos="3786"/>
        </w:tabs>
        <w:ind w:left="3372" w:hanging="363"/>
      </w:pPr>
      <w:rPr>
        <w:rFonts w:hint="eastAsia"/>
      </w:rPr>
    </w:lvl>
    <w:lvl w:ilvl="3" w:tentative="0">
      <w:start w:val="1"/>
      <w:numFmt w:val="decimal"/>
      <w:lvlText w:val="%4."/>
      <w:lvlJc w:val="left"/>
      <w:pPr>
        <w:tabs>
          <w:tab w:val="left" w:pos="3786"/>
        </w:tabs>
        <w:ind w:left="3372" w:hanging="363"/>
      </w:pPr>
      <w:rPr>
        <w:rFonts w:hint="eastAsia"/>
      </w:rPr>
    </w:lvl>
    <w:lvl w:ilvl="4" w:tentative="0">
      <w:start w:val="1"/>
      <w:numFmt w:val="lowerLetter"/>
      <w:lvlText w:val="%5)"/>
      <w:lvlJc w:val="left"/>
      <w:pPr>
        <w:tabs>
          <w:tab w:val="left" w:pos="3786"/>
        </w:tabs>
        <w:ind w:left="3372" w:hanging="363"/>
      </w:pPr>
      <w:rPr>
        <w:rFonts w:hint="eastAsia"/>
      </w:rPr>
    </w:lvl>
    <w:lvl w:ilvl="5" w:tentative="0">
      <w:start w:val="1"/>
      <w:numFmt w:val="lowerRoman"/>
      <w:lvlText w:val="%6."/>
      <w:lvlJc w:val="right"/>
      <w:pPr>
        <w:tabs>
          <w:tab w:val="left" w:pos="3786"/>
        </w:tabs>
        <w:ind w:left="3372" w:hanging="363"/>
      </w:pPr>
      <w:rPr>
        <w:rFonts w:hint="eastAsia"/>
      </w:rPr>
    </w:lvl>
    <w:lvl w:ilvl="6" w:tentative="0">
      <w:start w:val="1"/>
      <w:numFmt w:val="decimal"/>
      <w:lvlText w:val="%7."/>
      <w:lvlJc w:val="left"/>
      <w:pPr>
        <w:tabs>
          <w:tab w:val="left" w:pos="3786"/>
        </w:tabs>
        <w:ind w:left="3372" w:hanging="363"/>
      </w:pPr>
      <w:rPr>
        <w:rFonts w:hint="eastAsia"/>
      </w:rPr>
    </w:lvl>
    <w:lvl w:ilvl="7" w:tentative="0">
      <w:start w:val="1"/>
      <w:numFmt w:val="lowerLetter"/>
      <w:lvlText w:val="%8)"/>
      <w:lvlJc w:val="left"/>
      <w:pPr>
        <w:tabs>
          <w:tab w:val="left" w:pos="3786"/>
        </w:tabs>
        <w:ind w:left="3372" w:hanging="363"/>
      </w:pPr>
      <w:rPr>
        <w:rFonts w:hint="eastAsia"/>
      </w:rPr>
    </w:lvl>
    <w:lvl w:ilvl="8" w:tentative="0">
      <w:start w:val="1"/>
      <w:numFmt w:val="lowerRoman"/>
      <w:lvlText w:val="%9."/>
      <w:lvlJc w:val="right"/>
      <w:pPr>
        <w:tabs>
          <w:tab w:val="left" w:pos="3786"/>
        </w:tabs>
        <w:ind w:left="3372" w:hanging="363"/>
      </w:pPr>
      <w:rPr>
        <w:rFonts w:hint="eastAsia"/>
      </w:rPr>
    </w:lvl>
  </w:abstractNum>
  <w:abstractNum w:abstractNumId="15">
    <w:nsid w:val="76933334"/>
    <w:multiLevelType w:val="multilevel"/>
    <w:tmpl w:val="76933334"/>
    <w:lvl w:ilvl="0" w:tentative="0">
      <w:start w:val="1"/>
      <w:numFmt w:val="none"/>
      <w:pStyle w:val="52"/>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7E401F99"/>
    <w:multiLevelType w:val="multilevel"/>
    <w:tmpl w:val="7E401F99"/>
    <w:lvl w:ilvl="0" w:tentative="0">
      <w:start w:val="1"/>
      <w:numFmt w:val="decimal"/>
      <w:suff w:val="space"/>
      <w:lvlText w:val="5.%1"/>
      <w:lvlJc w:val="left"/>
      <w:pPr>
        <w:ind w:left="440" w:hanging="440"/>
      </w:pPr>
      <w:rPr>
        <w:rFonts w:hint="default" w:ascii="黑体" w:hAnsi="黑体" w:eastAsia="黑体"/>
      </w:rPr>
    </w:lvl>
    <w:lvl w:ilvl="1" w:tentative="0">
      <w:start w:val="1"/>
      <w:numFmt w:val="upperLetter"/>
      <w:lvlText w:val="%2，"/>
      <w:lvlJc w:val="left"/>
      <w:pPr>
        <w:ind w:left="800" w:hanging="360"/>
      </w:pPr>
      <w:rPr>
        <w:rFonts w:hint="default"/>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7"/>
  </w:num>
  <w:num w:numId="2">
    <w:abstractNumId w:val="4"/>
  </w:num>
  <w:num w:numId="3">
    <w:abstractNumId w:val="15"/>
  </w:num>
  <w:num w:numId="4">
    <w:abstractNumId w:val="6"/>
  </w:num>
  <w:num w:numId="5">
    <w:abstractNumId w:val="8"/>
  </w:num>
  <w:num w:numId="6">
    <w:abstractNumId w:val="14"/>
  </w:num>
  <w:num w:numId="7">
    <w:abstractNumId w:val="3"/>
  </w:num>
  <w:num w:numId="8">
    <w:abstractNumId w:val="12"/>
  </w:num>
  <w:num w:numId="9">
    <w:abstractNumId w:val="11"/>
  </w:num>
  <w:num w:numId="10">
    <w:abstractNumId w:val="13"/>
  </w:num>
  <w:num w:numId="11">
    <w:abstractNumId w:val="5"/>
  </w:num>
  <w:num w:numId="12">
    <w:abstractNumId w:val="0"/>
  </w:num>
  <w:num w:numId="13">
    <w:abstractNumId w:val="2"/>
  </w:num>
  <w:num w:numId="14">
    <w:abstractNumId w:val="16"/>
  </w:num>
  <w:num w:numId="15">
    <w:abstractNumId w:val="10"/>
  </w:num>
  <w:num w:numId="16">
    <w:abstractNumId w:val="9"/>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925"/>
    <w:rsid w:val="00000244"/>
    <w:rsid w:val="0000030D"/>
    <w:rsid w:val="000008AB"/>
    <w:rsid w:val="0000185F"/>
    <w:rsid w:val="00003DCF"/>
    <w:rsid w:val="000046A1"/>
    <w:rsid w:val="0000586F"/>
    <w:rsid w:val="000066ED"/>
    <w:rsid w:val="0001066F"/>
    <w:rsid w:val="00011406"/>
    <w:rsid w:val="00012236"/>
    <w:rsid w:val="00012B2D"/>
    <w:rsid w:val="00013D86"/>
    <w:rsid w:val="00013E02"/>
    <w:rsid w:val="0001452A"/>
    <w:rsid w:val="000147A8"/>
    <w:rsid w:val="00015E59"/>
    <w:rsid w:val="00015FA2"/>
    <w:rsid w:val="00017988"/>
    <w:rsid w:val="00020BB7"/>
    <w:rsid w:val="0002143C"/>
    <w:rsid w:val="00023888"/>
    <w:rsid w:val="00025754"/>
    <w:rsid w:val="00025A65"/>
    <w:rsid w:val="00025D16"/>
    <w:rsid w:val="00026771"/>
    <w:rsid w:val="00026C31"/>
    <w:rsid w:val="00026D83"/>
    <w:rsid w:val="00027280"/>
    <w:rsid w:val="00030A8E"/>
    <w:rsid w:val="000320A7"/>
    <w:rsid w:val="000321DD"/>
    <w:rsid w:val="00032DCA"/>
    <w:rsid w:val="00034BE4"/>
    <w:rsid w:val="0003568B"/>
    <w:rsid w:val="00035925"/>
    <w:rsid w:val="00036A48"/>
    <w:rsid w:val="000371C2"/>
    <w:rsid w:val="00041566"/>
    <w:rsid w:val="00041B4E"/>
    <w:rsid w:val="00042027"/>
    <w:rsid w:val="00042C00"/>
    <w:rsid w:val="00044EFA"/>
    <w:rsid w:val="00050070"/>
    <w:rsid w:val="000508FD"/>
    <w:rsid w:val="00051637"/>
    <w:rsid w:val="00052008"/>
    <w:rsid w:val="0005228E"/>
    <w:rsid w:val="0005385A"/>
    <w:rsid w:val="0005462F"/>
    <w:rsid w:val="000550EF"/>
    <w:rsid w:val="00056878"/>
    <w:rsid w:val="00057D09"/>
    <w:rsid w:val="00062235"/>
    <w:rsid w:val="00064E9A"/>
    <w:rsid w:val="0006651D"/>
    <w:rsid w:val="00066FCC"/>
    <w:rsid w:val="00067665"/>
    <w:rsid w:val="00067CDF"/>
    <w:rsid w:val="00072004"/>
    <w:rsid w:val="00072622"/>
    <w:rsid w:val="00073E51"/>
    <w:rsid w:val="00074F03"/>
    <w:rsid w:val="00074FBE"/>
    <w:rsid w:val="00077269"/>
    <w:rsid w:val="00080BB5"/>
    <w:rsid w:val="00083A09"/>
    <w:rsid w:val="00084F83"/>
    <w:rsid w:val="00085BB9"/>
    <w:rsid w:val="00086B0B"/>
    <w:rsid w:val="0009005E"/>
    <w:rsid w:val="00092857"/>
    <w:rsid w:val="00095385"/>
    <w:rsid w:val="00096585"/>
    <w:rsid w:val="00096F7E"/>
    <w:rsid w:val="00096FCF"/>
    <w:rsid w:val="000A073B"/>
    <w:rsid w:val="000A1586"/>
    <w:rsid w:val="000A20A9"/>
    <w:rsid w:val="000A48B1"/>
    <w:rsid w:val="000A57B9"/>
    <w:rsid w:val="000A587E"/>
    <w:rsid w:val="000A59E5"/>
    <w:rsid w:val="000B15CB"/>
    <w:rsid w:val="000B2038"/>
    <w:rsid w:val="000B3143"/>
    <w:rsid w:val="000B4943"/>
    <w:rsid w:val="000B4966"/>
    <w:rsid w:val="000B5192"/>
    <w:rsid w:val="000B5A31"/>
    <w:rsid w:val="000B5EFC"/>
    <w:rsid w:val="000B75AF"/>
    <w:rsid w:val="000B7ED2"/>
    <w:rsid w:val="000B7F3E"/>
    <w:rsid w:val="000C0E22"/>
    <w:rsid w:val="000C2718"/>
    <w:rsid w:val="000C2DBC"/>
    <w:rsid w:val="000C2E3F"/>
    <w:rsid w:val="000C3290"/>
    <w:rsid w:val="000C494F"/>
    <w:rsid w:val="000C5CD2"/>
    <w:rsid w:val="000C5FEE"/>
    <w:rsid w:val="000C6A75"/>
    <w:rsid w:val="000C6B05"/>
    <w:rsid w:val="000C6DD6"/>
    <w:rsid w:val="000C6E6C"/>
    <w:rsid w:val="000C70D6"/>
    <w:rsid w:val="000C7357"/>
    <w:rsid w:val="000C73D4"/>
    <w:rsid w:val="000C766A"/>
    <w:rsid w:val="000C7AFB"/>
    <w:rsid w:val="000D0892"/>
    <w:rsid w:val="000D0E9F"/>
    <w:rsid w:val="000D1C26"/>
    <w:rsid w:val="000D333A"/>
    <w:rsid w:val="000D3D4C"/>
    <w:rsid w:val="000D4F51"/>
    <w:rsid w:val="000D6069"/>
    <w:rsid w:val="000D698F"/>
    <w:rsid w:val="000D6FD9"/>
    <w:rsid w:val="000D718B"/>
    <w:rsid w:val="000E0796"/>
    <w:rsid w:val="000E0C46"/>
    <w:rsid w:val="000E0CC5"/>
    <w:rsid w:val="000E3043"/>
    <w:rsid w:val="000E31AE"/>
    <w:rsid w:val="000E33E2"/>
    <w:rsid w:val="000E3F8F"/>
    <w:rsid w:val="000E47C6"/>
    <w:rsid w:val="000E5126"/>
    <w:rsid w:val="000E76D5"/>
    <w:rsid w:val="000F030C"/>
    <w:rsid w:val="000F129C"/>
    <w:rsid w:val="000F2442"/>
    <w:rsid w:val="000F2852"/>
    <w:rsid w:val="000F300B"/>
    <w:rsid w:val="000F446B"/>
    <w:rsid w:val="000F49FF"/>
    <w:rsid w:val="000F6634"/>
    <w:rsid w:val="000F7508"/>
    <w:rsid w:val="00100A40"/>
    <w:rsid w:val="00100A6E"/>
    <w:rsid w:val="001016A7"/>
    <w:rsid w:val="001029E4"/>
    <w:rsid w:val="001056DE"/>
    <w:rsid w:val="00107118"/>
    <w:rsid w:val="00107654"/>
    <w:rsid w:val="00107AD1"/>
    <w:rsid w:val="001107EE"/>
    <w:rsid w:val="001120CA"/>
    <w:rsid w:val="00112392"/>
    <w:rsid w:val="00112394"/>
    <w:rsid w:val="001124C0"/>
    <w:rsid w:val="001127E8"/>
    <w:rsid w:val="001137B5"/>
    <w:rsid w:val="00113A5C"/>
    <w:rsid w:val="00113B10"/>
    <w:rsid w:val="00114E73"/>
    <w:rsid w:val="00115D10"/>
    <w:rsid w:val="001161CA"/>
    <w:rsid w:val="00120F0C"/>
    <w:rsid w:val="001218AC"/>
    <w:rsid w:val="00121D45"/>
    <w:rsid w:val="001225A2"/>
    <w:rsid w:val="001226A7"/>
    <w:rsid w:val="00123C8F"/>
    <w:rsid w:val="00123E9B"/>
    <w:rsid w:val="00123EA2"/>
    <w:rsid w:val="00123F5E"/>
    <w:rsid w:val="0012485C"/>
    <w:rsid w:val="00125EFE"/>
    <w:rsid w:val="001314E2"/>
    <w:rsid w:val="0013175F"/>
    <w:rsid w:val="00131B57"/>
    <w:rsid w:val="00131DBE"/>
    <w:rsid w:val="001329F8"/>
    <w:rsid w:val="00132EBE"/>
    <w:rsid w:val="00136156"/>
    <w:rsid w:val="00137E33"/>
    <w:rsid w:val="00140320"/>
    <w:rsid w:val="00140994"/>
    <w:rsid w:val="00141D62"/>
    <w:rsid w:val="001442D1"/>
    <w:rsid w:val="00145A4A"/>
    <w:rsid w:val="00147321"/>
    <w:rsid w:val="001512B4"/>
    <w:rsid w:val="00151307"/>
    <w:rsid w:val="001517BB"/>
    <w:rsid w:val="00152529"/>
    <w:rsid w:val="0015603C"/>
    <w:rsid w:val="001576C1"/>
    <w:rsid w:val="00157924"/>
    <w:rsid w:val="001620A5"/>
    <w:rsid w:val="001624B7"/>
    <w:rsid w:val="00162F05"/>
    <w:rsid w:val="00163621"/>
    <w:rsid w:val="00164376"/>
    <w:rsid w:val="00164E53"/>
    <w:rsid w:val="00165460"/>
    <w:rsid w:val="001660E5"/>
    <w:rsid w:val="0016699D"/>
    <w:rsid w:val="00170A51"/>
    <w:rsid w:val="0017246F"/>
    <w:rsid w:val="001733FD"/>
    <w:rsid w:val="00174301"/>
    <w:rsid w:val="001744CD"/>
    <w:rsid w:val="00174A2C"/>
    <w:rsid w:val="00175159"/>
    <w:rsid w:val="00175FDB"/>
    <w:rsid w:val="00176208"/>
    <w:rsid w:val="0017634D"/>
    <w:rsid w:val="00176610"/>
    <w:rsid w:val="001767C7"/>
    <w:rsid w:val="00177387"/>
    <w:rsid w:val="00180C60"/>
    <w:rsid w:val="001819C4"/>
    <w:rsid w:val="0018211B"/>
    <w:rsid w:val="001829F7"/>
    <w:rsid w:val="00183316"/>
    <w:rsid w:val="00183720"/>
    <w:rsid w:val="001840D3"/>
    <w:rsid w:val="00184BB0"/>
    <w:rsid w:val="00184F45"/>
    <w:rsid w:val="001859B5"/>
    <w:rsid w:val="001860CE"/>
    <w:rsid w:val="00186156"/>
    <w:rsid w:val="001874F2"/>
    <w:rsid w:val="00187520"/>
    <w:rsid w:val="001875C2"/>
    <w:rsid w:val="00187E3E"/>
    <w:rsid w:val="001900F8"/>
    <w:rsid w:val="001902DE"/>
    <w:rsid w:val="00191258"/>
    <w:rsid w:val="00191D09"/>
    <w:rsid w:val="00192680"/>
    <w:rsid w:val="0019284B"/>
    <w:rsid w:val="00193037"/>
    <w:rsid w:val="001938C7"/>
    <w:rsid w:val="00193A2C"/>
    <w:rsid w:val="00193AB2"/>
    <w:rsid w:val="00193C13"/>
    <w:rsid w:val="001940B0"/>
    <w:rsid w:val="00196A4A"/>
    <w:rsid w:val="001A1B13"/>
    <w:rsid w:val="001A288E"/>
    <w:rsid w:val="001A31FD"/>
    <w:rsid w:val="001A36E4"/>
    <w:rsid w:val="001A4775"/>
    <w:rsid w:val="001B057F"/>
    <w:rsid w:val="001B2469"/>
    <w:rsid w:val="001B2A84"/>
    <w:rsid w:val="001B338B"/>
    <w:rsid w:val="001B3EFF"/>
    <w:rsid w:val="001B43D3"/>
    <w:rsid w:val="001B4608"/>
    <w:rsid w:val="001B63F4"/>
    <w:rsid w:val="001B6DC2"/>
    <w:rsid w:val="001B6E4B"/>
    <w:rsid w:val="001B784A"/>
    <w:rsid w:val="001B7C37"/>
    <w:rsid w:val="001B7ED5"/>
    <w:rsid w:val="001B7FAD"/>
    <w:rsid w:val="001C149C"/>
    <w:rsid w:val="001C21AC"/>
    <w:rsid w:val="001C3513"/>
    <w:rsid w:val="001C3BA9"/>
    <w:rsid w:val="001C4282"/>
    <w:rsid w:val="001C478D"/>
    <w:rsid w:val="001C47BA"/>
    <w:rsid w:val="001C58CA"/>
    <w:rsid w:val="001C59EA"/>
    <w:rsid w:val="001C5A84"/>
    <w:rsid w:val="001C5DE1"/>
    <w:rsid w:val="001C6F90"/>
    <w:rsid w:val="001C77C3"/>
    <w:rsid w:val="001C7DFF"/>
    <w:rsid w:val="001D020C"/>
    <w:rsid w:val="001D0A45"/>
    <w:rsid w:val="001D1AD0"/>
    <w:rsid w:val="001D406C"/>
    <w:rsid w:val="001D41EE"/>
    <w:rsid w:val="001D510A"/>
    <w:rsid w:val="001D5189"/>
    <w:rsid w:val="001D56F5"/>
    <w:rsid w:val="001D5978"/>
    <w:rsid w:val="001D62C9"/>
    <w:rsid w:val="001D7036"/>
    <w:rsid w:val="001D7830"/>
    <w:rsid w:val="001E0380"/>
    <w:rsid w:val="001E13B1"/>
    <w:rsid w:val="001E4B97"/>
    <w:rsid w:val="001E5094"/>
    <w:rsid w:val="001E54F1"/>
    <w:rsid w:val="001E677E"/>
    <w:rsid w:val="001E6AFE"/>
    <w:rsid w:val="001E7F1C"/>
    <w:rsid w:val="001F001F"/>
    <w:rsid w:val="001F018C"/>
    <w:rsid w:val="001F05F7"/>
    <w:rsid w:val="001F140D"/>
    <w:rsid w:val="001F19F9"/>
    <w:rsid w:val="001F1E63"/>
    <w:rsid w:val="001F1F7E"/>
    <w:rsid w:val="001F2C8C"/>
    <w:rsid w:val="001F3A19"/>
    <w:rsid w:val="001F6E38"/>
    <w:rsid w:val="001F727C"/>
    <w:rsid w:val="001F757C"/>
    <w:rsid w:val="00200EA9"/>
    <w:rsid w:val="00201D7E"/>
    <w:rsid w:val="00201E02"/>
    <w:rsid w:val="00202718"/>
    <w:rsid w:val="00204790"/>
    <w:rsid w:val="00205444"/>
    <w:rsid w:val="00205C17"/>
    <w:rsid w:val="0020650D"/>
    <w:rsid w:val="00210025"/>
    <w:rsid w:val="0021061A"/>
    <w:rsid w:val="00211AC8"/>
    <w:rsid w:val="00214736"/>
    <w:rsid w:val="0021552D"/>
    <w:rsid w:val="002164B5"/>
    <w:rsid w:val="00216EB1"/>
    <w:rsid w:val="0022029B"/>
    <w:rsid w:val="00220470"/>
    <w:rsid w:val="002214CB"/>
    <w:rsid w:val="0022280A"/>
    <w:rsid w:val="0022322B"/>
    <w:rsid w:val="00223332"/>
    <w:rsid w:val="002240CD"/>
    <w:rsid w:val="0022472D"/>
    <w:rsid w:val="00227ACE"/>
    <w:rsid w:val="00230156"/>
    <w:rsid w:val="00230511"/>
    <w:rsid w:val="002310DD"/>
    <w:rsid w:val="00232C81"/>
    <w:rsid w:val="00232F9E"/>
    <w:rsid w:val="00233802"/>
    <w:rsid w:val="00234467"/>
    <w:rsid w:val="00235B7F"/>
    <w:rsid w:val="00235FE5"/>
    <w:rsid w:val="00237D8D"/>
    <w:rsid w:val="002418B7"/>
    <w:rsid w:val="00241DA2"/>
    <w:rsid w:val="00242033"/>
    <w:rsid w:val="00244481"/>
    <w:rsid w:val="00244D2B"/>
    <w:rsid w:val="002463E9"/>
    <w:rsid w:val="0024795A"/>
    <w:rsid w:val="0024796B"/>
    <w:rsid w:val="00247FEE"/>
    <w:rsid w:val="00250E7D"/>
    <w:rsid w:val="0025146D"/>
    <w:rsid w:val="00251CE6"/>
    <w:rsid w:val="00251FD5"/>
    <w:rsid w:val="002522D3"/>
    <w:rsid w:val="00253871"/>
    <w:rsid w:val="002565D5"/>
    <w:rsid w:val="00260FE8"/>
    <w:rsid w:val="002622C0"/>
    <w:rsid w:val="00262B25"/>
    <w:rsid w:val="002639EF"/>
    <w:rsid w:val="00264E27"/>
    <w:rsid w:val="00266132"/>
    <w:rsid w:val="00266259"/>
    <w:rsid w:val="002671DE"/>
    <w:rsid w:val="0027007C"/>
    <w:rsid w:val="00270DCD"/>
    <w:rsid w:val="00273538"/>
    <w:rsid w:val="00273F1E"/>
    <w:rsid w:val="0027476E"/>
    <w:rsid w:val="00274DF1"/>
    <w:rsid w:val="00274F7F"/>
    <w:rsid w:val="00275385"/>
    <w:rsid w:val="00275700"/>
    <w:rsid w:val="002764F1"/>
    <w:rsid w:val="00276933"/>
    <w:rsid w:val="002777BF"/>
    <w:rsid w:val="002778AE"/>
    <w:rsid w:val="002779C9"/>
    <w:rsid w:val="002804C5"/>
    <w:rsid w:val="00280A31"/>
    <w:rsid w:val="00282285"/>
    <w:rsid w:val="002822A7"/>
    <w:rsid w:val="0028269A"/>
    <w:rsid w:val="00282B3C"/>
    <w:rsid w:val="00283590"/>
    <w:rsid w:val="0028581A"/>
    <w:rsid w:val="00285858"/>
    <w:rsid w:val="002859BA"/>
    <w:rsid w:val="002864B4"/>
    <w:rsid w:val="00286973"/>
    <w:rsid w:val="002904E8"/>
    <w:rsid w:val="002912E7"/>
    <w:rsid w:val="00291EA5"/>
    <w:rsid w:val="00292956"/>
    <w:rsid w:val="00292AEA"/>
    <w:rsid w:val="00294E70"/>
    <w:rsid w:val="0029510A"/>
    <w:rsid w:val="002969C3"/>
    <w:rsid w:val="002A0412"/>
    <w:rsid w:val="002A0D63"/>
    <w:rsid w:val="002A131D"/>
    <w:rsid w:val="002A1924"/>
    <w:rsid w:val="002A1DD9"/>
    <w:rsid w:val="002A4FEB"/>
    <w:rsid w:val="002A5312"/>
    <w:rsid w:val="002A59B9"/>
    <w:rsid w:val="002A5A87"/>
    <w:rsid w:val="002A5BAC"/>
    <w:rsid w:val="002A615E"/>
    <w:rsid w:val="002A6510"/>
    <w:rsid w:val="002A6A95"/>
    <w:rsid w:val="002A7420"/>
    <w:rsid w:val="002B0F12"/>
    <w:rsid w:val="002B1308"/>
    <w:rsid w:val="002B1D2E"/>
    <w:rsid w:val="002B2EC1"/>
    <w:rsid w:val="002B37A9"/>
    <w:rsid w:val="002B381D"/>
    <w:rsid w:val="002B3AD0"/>
    <w:rsid w:val="002B4429"/>
    <w:rsid w:val="002B4554"/>
    <w:rsid w:val="002B4A7A"/>
    <w:rsid w:val="002B4F45"/>
    <w:rsid w:val="002B7C62"/>
    <w:rsid w:val="002C16A2"/>
    <w:rsid w:val="002C391A"/>
    <w:rsid w:val="002C4732"/>
    <w:rsid w:val="002C6B42"/>
    <w:rsid w:val="002C72D8"/>
    <w:rsid w:val="002D11FA"/>
    <w:rsid w:val="002D149A"/>
    <w:rsid w:val="002D1C94"/>
    <w:rsid w:val="002D3099"/>
    <w:rsid w:val="002D3293"/>
    <w:rsid w:val="002D3A5B"/>
    <w:rsid w:val="002D43EB"/>
    <w:rsid w:val="002D4ADE"/>
    <w:rsid w:val="002D648B"/>
    <w:rsid w:val="002E0DDF"/>
    <w:rsid w:val="002E1032"/>
    <w:rsid w:val="002E123A"/>
    <w:rsid w:val="002E2906"/>
    <w:rsid w:val="002E38D6"/>
    <w:rsid w:val="002E45A9"/>
    <w:rsid w:val="002E5635"/>
    <w:rsid w:val="002E56B7"/>
    <w:rsid w:val="002E64C3"/>
    <w:rsid w:val="002E6A2C"/>
    <w:rsid w:val="002E6A62"/>
    <w:rsid w:val="002E6B42"/>
    <w:rsid w:val="002E7BA6"/>
    <w:rsid w:val="002F1D8C"/>
    <w:rsid w:val="002F1E7E"/>
    <w:rsid w:val="002F20CE"/>
    <w:rsid w:val="002F21DA"/>
    <w:rsid w:val="002F4D3E"/>
    <w:rsid w:val="002F63F9"/>
    <w:rsid w:val="002F6813"/>
    <w:rsid w:val="00301F39"/>
    <w:rsid w:val="003027E8"/>
    <w:rsid w:val="00302B41"/>
    <w:rsid w:val="00303E03"/>
    <w:rsid w:val="003044AC"/>
    <w:rsid w:val="003049E0"/>
    <w:rsid w:val="00304D5C"/>
    <w:rsid w:val="0030553B"/>
    <w:rsid w:val="00305674"/>
    <w:rsid w:val="00311412"/>
    <w:rsid w:val="0031165F"/>
    <w:rsid w:val="00312AB0"/>
    <w:rsid w:val="00313EE9"/>
    <w:rsid w:val="003144CC"/>
    <w:rsid w:val="003155C2"/>
    <w:rsid w:val="00316401"/>
    <w:rsid w:val="00316522"/>
    <w:rsid w:val="003169A4"/>
    <w:rsid w:val="00317F0E"/>
    <w:rsid w:val="00320C00"/>
    <w:rsid w:val="00321C85"/>
    <w:rsid w:val="00322570"/>
    <w:rsid w:val="003226E4"/>
    <w:rsid w:val="00322B21"/>
    <w:rsid w:val="00323984"/>
    <w:rsid w:val="003245B9"/>
    <w:rsid w:val="00324C89"/>
    <w:rsid w:val="00325926"/>
    <w:rsid w:val="00327A8A"/>
    <w:rsid w:val="00331649"/>
    <w:rsid w:val="00331A8D"/>
    <w:rsid w:val="00336610"/>
    <w:rsid w:val="0034082B"/>
    <w:rsid w:val="00340E2C"/>
    <w:rsid w:val="003433B9"/>
    <w:rsid w:val="003435A7"/>
    <w:rsid w:val="00343F73"/>
    <w:rsid w:val="0034433F"/>
    <w:rsid w:val="003447D9"/>
    <w:rsid w:val="00345060"/>
    <w:rsid w:val="00346B4E"/>
    <w:rsid w:val="00346B7C"/>
    <w:rsid w:val="00347978"/>
    <w:rsid w:val="0035008F"/>
    <w:rsid w:val="003515FB"/>
    <w:rsid w:val="00352FBB"/>
    <w:rsid w:val="0035323B"/>
    <w:rsid w:val="00353299"/>
    <w:rsid w:val="003541F5"/>
    <w:rsid w:val="00354B64"/>
    <w:rsid w:val="00356125"/>
    <w:rsid w:val="003565E6"/>
    <w:rsid w:val="00356857"/>
    <w:rsid w:val="00357324"/>
    <w:rsid w:val="00357F1C"/>
    <w:rsid w:val="00360190"/>
    <w:rsid w:val="003609D2"/>
    <w:rsid w:val="00362304"/>
    <w:rsid w:val="00362A8D"/>
    <w:rsid w:val="00363F22"/>
    <w:rsid w:val="003662EC"/>
    <w:rsid w:val="00366A6C"/>
    <w:rsid w:val="00367C43"/>
    <w:rsid w:val="00370195"/>
    <w:rsid w:val="00370921"/>
    <w:rsid w:val="003717C0"/>
    <w:rsid w:val="00371CAA"/>
    <w:rsid w:val="003724E3"/>
    <w:rsid w:val="00372548"/>
    <w:rsid w:val="00373CE3"/>
    <w:rsid w:val="003744D4"/>
    <w:rsid w:val="00375475"/>
    <w:rsid w:val="00375564"/>
    <w:rsid w:val="00376E70"/>
    <w:rsid w:val="00377E50"/>
    <w:rsid w:val="00380969"/>
    <w:rsid w:val="0038134A"/>
    <w:rsid w:val="003830ED"/>
    <w:rsid w:val="00383191"/>
    <w:rsid w:val="003836EC"/>
    <w:rsid w:val="003845C3"/>
    <w:rsid w:val="003852C2"/>
    <w:rsid w:val="00385C4C"/>
    <w:rsid w:val="00385F2D"/>
    <w:rsid w:val="00386048"/>
    <w:rsid w:val="00386DED"/>
    <w:rsid w:val="0039014A"/>
    <w:rsid w:val="003912E7"/>
    <w:rsid w:val="00391765"/>
    <w:rsid w:val="0039183A"/>
    <w:rsid w:val="003921B4"/>
    <w:rsid w:val="003922AE"/>
    <w:rsid w:val="00393332"/>
    <w:rsid w:val="00393703"/>
    <w:rsid w:val="00393947"/>
    <w:rsid w:val="00394350"/>
    <w:rsid w:val="00396809"/>
    <w:rsid w:val="00397291"/>
    <w:rsid w:val="003A05B1"/>
    <w:rsid w:val="003A07C1"/>
    <w:rsid w:val="003A0821"/>
    <w:rsid w:val="003A1C76"/>
    <w:rsid w:val="003A2275"/>
    <w:rsid w:val="003A261D"/>
    <w:rsid w:val="003A333D"/>
    <w:rsid w:val="003A3AF9"/>
    <w:rsid w:val="003A5191"/>
    <w:rsid w:val="003A5594"/>
    <w:rsid w:val="003A6268"/>
    <w:rsid w:val="003A69E4"/>
    <w:rsid w:val="003A6A4F"/>
    <w:rsid w:val="003A6A63"/>
    <w:rsid w:val="003A7088"/>
    <w:rsid w:val="003A7B45"/>
    <w:rsid w:val="003B00DF"/>
    <w:rsid w:val="003B1275"/>
    <w:rsid w:val="003B1778"/>
    <w:rsid w:val="003B1D46"/>
    <w:rsid w:val="003B25AB"/>
    <w:rsid w:val="003B2912"/>
    <w:rsid w:val="003B30C4"/>
    <w:rsid w:val="003B492C"/>
    <w:rsid w:val="003B52E2"/>
    <w:rsid w:val="003B5F0E"/>
    <w:rsid w:val="003B64ED"/>
    <w:rsid w:val="003B691F"/>
    <w:rsid w:val="003B6B26"/>
    <w:rsid w:val="003B79A6"/>
    <w:rsid w:val="003C11CB"/>
    <w:rsid w:val="003C1480"/>
    <w:rsid w:val="003C1E37"/>
    <w:rsid w:val="003C1F89"/>
    <w:rsid w:val="003C34D3"/>
    <w:rsid w:val="003C3747"/>
    <w:rsid w:val="003C4253"/>
    <w:rsid w:val="003C4C78"/>
    <w:rsid w:val="003C502D"/>
    <w:rsid w:val="003C50D7"/>
    <w:rsid w:val="003C6549"/>
    <w:rsid w:val="003C75F3"/>
    <w:rsid w:val="003C78A3"/>
    <w:rsid w:val="003D03A3"/>
    <w:rsid w:val="003D1197"/>
    <w:rsid w:val="003D2673"/>
    <w:rsid w:val="003D2ED8"/>
    <w:rsid w:val="003D30CA"/>
    <w:rsid w:val="003D36C1"/>
    <w:rsid w:val="003D492C"/>
    <w:rsid w:val="003D50AF"/>
    <w:rsid w:val="003E0159"/>
    <w:rsid w:val="003E1867"/>
    <w:rsid w:val="003E18A3"/>
    <w:rsid w:val="003E193D"/>
    <w:rsid w:val="003E221B"/>
    <w:rsid w:val="003E25B7"/>
    <w:rsid w:val="003E38BA"/>
    <w:rsid w:val="003E3C7D"/>
    <w:rsid w:val="003E3FE0"/>
    <w:rsid w:val="003E5502"/>
    <w:rsid w:val="003E5729"/>
    <w:rsid w:val="003E5C50"/>
    <w:rsid w:val="003E7755"/>
    <w:rsid w:val="003E7898"/>
    <w:rsid w:val="003F0235"/>
    <w:rsid w:val="003F0C64"/>
    <w:rsid w:val="003F11F8"/>
    <w:rsid w:val="003F1322"/>
    <w:rsid w:val="003F1A0D"/>
    <w:rsid w:val="003F44B9"/>
    <w:rsid w:val="003F4678"/>
    <w:rsid w:val="003F4EE0"/>
    <w:rsid w:val="003F5941"/>
    <w:rsid w:val="003F6031"/>
    <w:rsid w:val="003F6842"/>
    <w:rsid w:val="003F6F76"/>
    <w:rsid w:val="003F7065"/>
    <w:rsid w:val="003F7A5A"/>
    <w:rsid w:val="003F7AC1"/>
    <w:rsid w:val="00401696"/>
    <w:rsid w:val="0040178A"/>
    <w:rsid w:val="00401EFB"/>
    <w:rsid w:val="00402153"/>
    <w:rsid w:val="00402684"/>
    <w:rsid w:val="00402FC1"/>
    <w:rsid w:val="00403548"/>
    <w:rsid w:val="00403DB3"/>
    <w:rsid w:val="00410B90"/>
    <w:rsid w:val="00412203"/>
    <w:rsid w:val="004132F2"/>
    <w:rsid w:val="0041345A"/>
    <w:rsid w:val="004141F0"/>
    <w:rsid w:val="004145CB"/>
    <w:rsid w:val="00414AE8"/>
    <w:rsid w:val="00416729"/>
    <w:rsid w:val="00417795"/>
    <w:rsid w:val="00421AB3"/>
    <w:rsid w:val="0042268C"/>
    <w:rsid w:val="004233B6"/>
    <w:rsid w:val="00424235"/>
    <w:rsid w:val="00424BFE"/>
    <w:rsid w:val="00425082"/>
    <w:rsid w:val="00425273"/>
    <w:rsid w:val="00425EAA"/>
    <w:rsid w:val="004261BB"/>
    <w:rsid w:val="0043074B"/>
    <w:rsid w:val="00431DEB"/>
    <w:rsid w:val="00432570"/>
    <w:rsid w:val="00432597"/>
    <w:rsid w:val="0043284E"/>
    <w:rsid w:val="004346B4"/>
    <w:rsid w:val="00434956"/>
    <w:rsid w:val="00436479"/>
    <w:rsid w:val="00436BED"/>
    <w:rsid w:val="00437192"/>
    <w:rsid w:val="004404FC"/>
    <w:rsid w:val="0044055B"/>
    <w:rsid w:val="004411E7"/>
    <w:rsid w:val="004427F6"/>
    <w:rsid w:val="00442FC4"/>
    <w:rsid w:val="00443FF2"/>
    <w:rsid w:val="00444F76"/>
    <w:rsid w:val="00445E2C"/>
    <w:rsid w:val="00445F03"/>
    <w:rsid w:val="004464AC"/>
    <w:rsid w:val="004468E8"/>
    <w:rsid w:val="00446B29"/>
    <w:rsid w:val="004517D9"/>
    <w:rsid w:val="00453AAA"/>
    <w:rsid w:val="00453F9A"/>
    <w:rsid w:val="00455E5C"/>
    <w:rsid w:val="00456111"/>
    <w:rsid w:val="004565F6"/>
    <w:rsid w:val="0045688F"/>
    <w:rsid w:val="00460F2A"/>
    <w:rsid w:val="00461197"/>
    <w:rsid w:val="004612C0"/>
    <w:rsid w:val="0046134C"/>
    <w:rsid w:val="00462409"/>
    <w:rsid w:val="0046303B"/>
    <w:rsid w:val="00463078"/>
    <w:rsid w:val="004641A3"/>
    <w:rsid w:val="00464981"/>
    <w:rsid w:val="00464D58"/>
    <w:rsid w:val="00464D5D"/>
    <w:rsid w:val="00465F81"/>
    <w:rsid w:val="0046682D"/>
    <w:rsid w:val="004709CD"/>
    <w:rsid w:val="00471E91"/>
    <w:rsid w:val="00474269"/>
    <w:rsid w:val="00474675"/>
    <w:rsid w:val="0047470C"/>
    <w:rsid w:val="00475486"/>
    <w:rsid w:val="004772F3"/>
    <w:rsid w:val="00480D48"/>
    <w:rsid w:val="004821F0"/>
    <w:rsid w:val="004828CC"/>
    <w:rsid w:val="004828E5"/>
    <w:rsid w:val="00485599"/>
    <w:rsid w:val="00485777"/>
    <w:rsid w:val="00485B7C"/>
    <w:rsid w:val="00486687"/>
    <w:rsid w:val="004874E5"/>
    <w:rsid w:val="0049074C"/>
    <w:rsid w:val="00491A05"/>
    <w:rsid w:val="00491C27"/>
    <w:rsid w:val="00492A2C"/>
    <w:rsid w:val="004931B8"/>
    <w:rsid w:val="004937A9"/>
    <w:rsid w:val="00494729"/>
    <w:rsid w:val="00495477"/>
    <w:rsid w:val="004A1EED"/>
    <w:rsid w:val="004A24A7"/>
    <w:rsid w:val="004A2707"/>
    <w:rsid w:val="004A2A0C"/>
    <w:rsid w:val="004A2EB6"/>
    <w:rsid w:val="004A35F9"/>
    <w:rsid w:val="004A42E1"/>
    <w:rsid w:val="004A47A9"/>
    <w:rsid w:val="004A536D"/>
    <w:rsid w:val="004A5E20"/>
    <w:rsid w:val="004A66D8"/>
    <w:rsid w:val="004A72A2"/>
    <w:rsid w:val="004A7E2E"/>
    <w:rsid w:val="004B08DF"/>
    <w:rsid w:val="004B0C21"/>
    <w:rsid w:val="004B13CF"/>
    <w:rsid w:val="004B1930"/>
    <w:rsid w:val="004B19EB"/>
    <w:rsid w:val="004B1A80"/>
    <w:rsid w:val="004B2110"/>
    <w:rsid w:val="004B24C1"/>
    <w:rsid w:val="004B30BB"/>
    <w:rsid w:val="004B4874"/>
    <w:rsid w:val="004B7E30"/>
    <w:rsid w:val="004C0F33"/>
    <w:rsid w:val="004C292F"/>
    <w:rsid w:val="004C305F"/>
    <w:rsid w:val="004C3DFF"/>
    <w:rsid w:val="004C5779"/>
    <w:rsid w:val="004C6409"/>
    <w:rsid w:val="004D03F9"/>
    <w:rsid w:val="004D155F"/>
    <w:rsid w:val="004D3CB4"/>
    <w:rsid w:val="004D4CFB"/>
    <w:rsid w:val="004D63E4"/>
    <w:rsid w:val="004D6696"/>
    <w:rsid w:val="004E01D8"/>
    <w:rsid w:val="004E02DB"/>
    <w:rsid w:val="004E1A19"/>
    <w:rsid w:val="004E1F42"/>
    <w:rsid w:val="004E24CC"/>
    <w:rsid w:val="004E3554"/>
    <w:rsid w:val="004E37DA"/>
    <w:rsid w:val="004E3E49"/>
    <w:rsid w:val="004E448F"/>
    <w:rsid w:val="004E4956"/>
    <w:rsid w:val="004E5B8C"/>
    <w:rsid w:val="004E6E14"/>
    <w:rsid w:val="004E7034"/>
    <w:rsid w:val="004E7FED"/>
    <w:rsid w:val="004F2758"/>
    <w:rsid w:val="004F455D"/>
    <w:rsid w:val="004F4AA4"/>
    <w:rsid w:val="004F4AB8"/>
    <w:rsid w:val="004F6309"/>
    <w:rsid w:val="004F738A"/>
    <w:rsid w:val="005016A1"/>
    <w:rsid w:val="005021A3"/>
    <w:rsid w:val="005028FA"/>
    <w:rsid w:val="00502B98"/>
    <w:rsid w:val="00503516"/>
    <w:rsid w:val="00503AF2"/>
    <w:rsid w:val="00504107"/>
    <w:rsid w:val="005044C9"/>
    <w:rsid w:val="00504828"/>
    <w:rsid w:val="00504B5A"/>
    <w:rsid w:val="005059D4"/>
    <w:rsid w:val="00506EC0"/>
    <w:rsid w:val="00507C73"/>
    <w:rsid w:val="00507EAF"/>
    <w:rsid w:val="005101AD"/>
    <w:rsid w:val="00510280"/>
    <w:rsid w:val="00511086"/>
    <w:rsid w:val="00511345"/>
    <w:rsid w:val="00512847"/>
    <w:rsid w:val="00513402"/>
    <w:rsid w:val="005134A7"/>
    <w:rsid w:val="00513D73"/>
    <w:rsid w:val="00514A43"/>
    <w:rsid w:val="00514F5C"/>
    <w:rsid w:val="00515080"/>
    <w:rsid w:val="005152A6"/>
    <w:rsid w:val="005167C2"/>
    <w:rsid w:val="005169C5"/>
    <w:rsid w:val="005169F8"/>
    <w:rsid w:val="005174E5"/>
    <w:rsid w:val="00520199"/>
    <w:rsid w:val="0052193A"/>
    <w:rsid w:val="00522393"/>
    <w:rsid w:val="00522620"/>
    <w:rsid w:val="00522E8A"/>
    <w:rsid w:val="00523521"/>
    <w:rsid w:val="00523544"/>
    <w:rsid w:val="00525270"/>
    <w:rsid w:val="00525405"/>
    <w:rsid w:val="00525656"/>
    <w:rsid w:val="0052628A"/>
    <w:rsid w:val="005301F1"/>
    <w:rsid w:val="005302F6"/>
    <w:rsid w:val="00530667"/>
    <w:rsid w:val="00531871"/>
    <w:rsid w:val="00532D12"/>
    <w:rsid w:val="00532E0D"/>
    <w:rsid w:val="005335CA"/>
    <w:rsid w:val="00534C02"/>
    <w:rsid w:val="00534E90"/>
    <w:rsid w:val="005368BB"/>
    <w:rsid w:val="0053758C"/>
    <w:rsid w:val="00537A65"/>
    <w:rsid w:val="005413EB"/>
    <w:rsid w:val="005414CD"/>
    <w:rsid w:val="00541832"/>
    <w:rsid w:val="0054264B"/>
    <w:rsid w:val="00543786"/>
    <w:rsid w:val="00544C8D"/>
    <w:rsid w:val="00545275"/>
    <w:rsid w:val="00545C21"/>
    <w:rsid w:val="0054704D"/>
    <w:rsid w:val="005477D5"/>
    <w:rsid w:val="00552801"/>
    <w:rsid w:val="0055317E"/>
    <w:rsid w:val="005533D7"/>
    <w:rsid w:val="00560966"/>
    <w:rsid w:val="00560D94"/>
    <w:rsid w:val="00562D5A"/>
    <w:rsid w:val="00563435"/>
    <w:rsid w:val="00563563"/>
    <w:rsid w:val="00563C66"/>
    <w:rsid w:val="00563C8D"/>
    <w:rsid w:val="00564E77"/>
    <w:rsid w:val="00566B12"/>
    <w:rsid w:val="0056703C"/>
    <w:rsid w:val="00567EFF"/>
    <w:rsid w:val="005703DE"/>
    <w:rsid w:val="005713F2"/>
    <w:rsid w:val="00572698"/>
    <w:rsid w:val="00572759"/>
    <w:rsid w:val="0057359F"/>
    <w:rsid w:val="005752B1"/>
    <w:rsid w:val="00575F97"/>
    <w:rsid w:val="00577DB7"/>
    <w:rsid w:val="00580C2C"/>
    <w:rsid w:val="00580E29"/>
    <w:rsid w:val="005811F0"/>
    <w:rsid w:val="005815E3"/>
    <w:rsid w:val="00581BA1"/>
    <w:rsid w:val="00581C8F"/>
    <w:rsid w:val="00582652"/>
    <w:rsid w:val="005828AF"/>
    <w:rsid w:val="00583F49"/>
    <w:rsid w:val="0058464E"/>
    <w:rsid w:val="005860A6"/>
    <w:rsid w:val="005861AD"/>
    <w:rsid w:val="00587688"/>
    <w:rsid w:val="005901B3"/>
    <w:rsid w:val="00592291"/>
    <w:rsid w:val="00595BBD"/>
    <w:rsid w:val="00595CFB"/>
    <w:rsid w:val="00596EF1"/>
    <w:rsid w:val="00597D85"/>
    <w:rsid w:val="005A01CB"/>
    <w:rsid w:val="005A1423"/>
    <w:rsid w:val="005A2852"/>
    <w:rsid w:val="005A45E6"/>
    <w:rsid w:val="005A53B6"/>
    <w:rsid w:val="005A58FF"/>
    <w:rsid w:val="005A5EAF"/>
    <w:rsid w:val="005A5FCC"/>
    <w:rsid w:val="005A5FDC"/>
    <w:rsid w:val="005A64C0"/>
    <w:rsid w:val="005B090B"/>
    <w:rsid w:val="005B3C11"/>
    <w:rsid w:val="005B3F95"/>
    <w:rsid w:val="005B3FC8"/>
    <w:rsid w:val="005B428F"/>
    <w:rsid w:val="005B4390"/>
    <w:rsid w:val="005B46BB"/>
    <w:rsid w:val="005B4823"/>
    <w:rsid w:val="005B57F6"/>
    <w:rsid w:val="005B70B3"/>
    <w:rsid w:val="005B7FCA"/>
    <w:rsid w:val="005C1068"/>
    <w:rsid w:val="005C1C28"/>
    <w:rsid w:val="005C3AEF"/>
    <w:rsid w:val="005C5FF6"/>
    <w:rsid w:val="005C6DB5"/>
    <w:rsid w:val="005D154D"/>
    <w:rsid w:val="005D1847"/>
    <w:rsid w:val="005D236E"/>
    <w:rsid w:val="005D2687"/>
    <w:rsid w:val="005D27EF"/>
    <w:rsid w:val="005D5817"/>
    <w:rsid w:val="005D6D7D"/>
    <w:rsid w:val="005E00A8"/>
    <w:rsid w:val="005E00B6"/>
    <w:rsid w:val="005E069E"/>
    <w:rsid w:val="005E19E7"/>
    <w:rsid w:val="005E1AF7"/>
    <w:rsid w:val="005E24F9"/>
    <w:rsid w:val="005E40E9"/>
    <w:rsid w:val="005E45A5"/>
    <w:rsid w:val="005E4851"/>
    <w:rsid w:val="005E61AB"/>
    <w:rsid w:val="005E6CB0"/>
    <w:rsid w:val="005E7845"/>
    <w:rsid w:val="005E7A9C"/>
    <w:rsid w:val="005E7C47"/>
    <w:rsid w:val="005F120E"/>
    <w:rsid w:val="005F2897"/>
    <w:rsid w:val="005F39BA"/>
    <w:rsid w:val="005F3D0B"/>
    <w:rsid w:val="005F5009"/>
    <w:rsid w:val="005F55D4"/>
    <w:rsid w:val="005F6644"/>
    <w:rsid w:val="005F7206"/>
    <w:rsid w:val="005F72E3"/>
    <w:rsid w:val="006001E6"/>
    <w:rsid w:val="006014C7"/>
    <w:rsid w:val="0060290B"/>
    <w:rsid w:val="0060751F"/>
    <w:rsid w:val="0060776E"/>
    <w:rsid w:val="00610520"/>
    <w:rsid w:val="006106D7"/>
    <w:rsid w:val="006110F1"/>
    <w:rsid w:val="00611332"/>
    <w:rsid w:val="00612476"/>
    <w:rsid w:val="0061338B"/>
    <w:rsid w:val="006139F3"/>
    <w:rsid w:val="00616C55"/>
    <w:rsid w:val="0061716C"/>
    <w:rsid w:val="00617506"/>
    <w:rsid w:val="00620662"/>
    <w:rsid w:val="00621C3A"/>
    <w:rsid w:val="00621EDF"/>
    <w:rsid w:val="00622F07"/>
    <w:rsid w:val="006230D7"/>
    <w:rsid w:val="0062390B"/>
    <w:rsid w:val="00623B32"/>
    <w:rsid w:val="00623FF8"/>
    <w:rsid w:val="00624009"/>
    <w:rsid w:val="006243A1"/>
    <w:rsid w:val="00624A59"/>
    <w:rsid w:val="00624FFC"/>
    <w:rsid w:val="006256CC"/>
    <w:rsid w:val="0062694C"/>
    <w:rsid w:val="00627076"/>
    <w:rsid w:val="00627E1D"/>
    <w:rsid w:val="006313B9"/>
    <w:rsid w:val="00631D66"/>
    <w:rsid w:val="00632366"/>
    <w:rsid w:val="00632E56"/>
    <w:rsid w:val="00632F49"/>
    <w:rsid w:val="0063363B"/>
    <w:rsid w:val="00634CC9"/>
    <w:rsid w:val="006350C0"/>
    <w:rsid w:val="006359BB"/>
    <w:rsid w:val="00635CBA"/>
    <w:rsid w:val="006367C5"/>
    <w:rsid w:val="00636BC1"/>
    <w:rsid w:val="00636D2E"/>
    <w:rsid w:val="0063711A"/>
    <w:rsid w:val="00640960"/>
    <w:rsid w:val="00640ADC"/>
    <w:rsid w:val="006415B7"/>
    <w:rsid w:val="0064287B"/>
    <w:rsid w:val="00642FFF"/>
    <w:rsid w:val="0064338B"/>
    <w:rsid w:val="00644069"/>
    <w:rsid w:val="00645772"/>
    <w:rsid w:val="00646542"/>
    <w:rsid w:val="0064766F"/>
    <w:rsid w:val="006478AF"/>
    <w:rsid w:val="006503A7"/>
    <w:rsid w:val="006504F4"/>
    <w:rsid w:val="00650E18"/>
    <w:rsid w:val="00652153"/>
    <w:rsid w:val="006522BB"/>
    <w:rsid w:val="00654BC9"/>
    <w:rsid w:val="006552FD"/>
    <w:rsid w:val="00656241"/>
    <w:rsid w:val="0065732E"/>
    <w:rsid w:val="0066245B"/>
    <w:rsid w:val="00663AF3"/>
    <w:rsid w:val="00663EDC"/>
    <w:rsid w:val="00664098"/>
    <w:rsid w:val="00664693"/>
    <w:rsid w:val="0066469A"/>
    <w:rsid w:val="00665630"/>
    <w:rsid w:val="00665FDC"/>
    <w:rsid w:val="00666B6C"/>
    <w:rsid w:val="00667236"/>
    <w:rsid w:val="006673FA"/>
    <w:rsid w:val="006704A1"/>
    <w:rsid w:val="00673894"/>
    <w:rsid w:val="006742A8"/>
    <w:rsid w:val="006748DC"/>
    <w:rsid w:val="0067586B"/>
    <w:rsid w:val="006769AB"/>
    <w:rsid w:val="006779B4"/>
    <w:rsid w:val="006804CB"/>
    <w:rsid w:val="00680E72"/>
    <w:rsid w:val="00681FC3"/>
    <w:rsid w:val="00682416"/>
    <w:rsid w:val="00682682"/>
    <w:rsid w:val="00682702"/>
    <w:rsid w:val="006838A9"/>
    <w:rsid w:val="006838D1"/>
    <w:rsid w:val="00683BFB"/>
    <w:rsid w:val="00683EF0"/>
    <w:rsid w:val="006852FE"/>
    <w:rsid w:val="006854EF"/>
    <w:rsid w:val="00685804"/>
    <w:rsid w:val="00685EEC"/>
    <w:rsid w:val="006866C1"/>
    <w:rsid w:val="00686C95"/>
    <w:rsid w:val="00687CA6"/>
    <w:rsid w:val="00687F04"/>
    <w:rsid w:val="0069090F"/>
    <w:rsid w:val="00690A79"/>
    <w:rsid w:val="00690DDD"/>
    <w:rsid w:val="00692368"/>
    <w:rsid w:val="00692D7A"/>
    <w:rsid w:val="00693158"/>
    <w:rsid w:val="006935A3"/>
    <w:rsid w:val="00694B3F"/>
    <w:rsid w:val="00694C00"/>
    <w:rsid w:val="0069644F"/>
    <w:rsid w:val="006971E1"/>
    <w:rsid w:val="006A05F4"/>
    <w:rsid w:val="006A1857"/>
    <w:rsid w:val="006A2EBC"/>
    <w:rsid w:val="006A3BE2"/>
    <w:rsid w:val="006A4942"/>
    <w:rsid w:val="006A5EA0"/>
    <w:rsid w:val="006A783B"/>
    <w:rsid w:val="006A7907"/>
    <w:rsid w:val="006A7B33"/>
    <w:rsid w:val="006B1EED"/>
    <w:rsid w:val="006B1F8C"/>
    <w:rsid w:val="006B2073"/>
    <w:rsid w:val="006B32F6"/>
    <w:rsid w:val="006B4133"/>
    <w:rsid w:val="006B4E13"/>
    <w:rsid w:val="006B5A5C"/>
    <w:rsid w:val="006B61E6"/>
    <w:rsid w:val="006B62F7"/>
    <w:rsid w:val="006B6ECD"/>
    <w:rsid w:val="006B70FC"/>
    <w:rsid w:val="006B75DD"/>
    <w:rsid w:val="006B7823"/>
    <w:rsid w:val="006B7B25"/>
    <w:rsid w:val="006C062F"/>
    <w:rsid w:val="006C1A3D"/>
    <w:rsid w:val="006C1D0D"/>
    <w:rsid w:val="006C1F82"/>
    <w:rsid w:val="006C44F4"/>
    <w:rsid w:val="006C46C8"/>
    <w:rsid w:val="006C67E0"/>
    <w:rsid w:val="006C7491"/>
    <w:rsid w:val="006C7665"/>
    <w:rsid w:val="006C7ABA"/>
    <w:rsid w:val="006D044D"/>
    <w:rsid w:val="006D0D60"/>
    <w:rsid w:val="006D0EBF"/>
    <w:rsid w:val="006D0FFA"/>
    <w:rsid w:val="006D1122"/>
    <w:rsid w:val="006D1902"/>
    <w:rsid w:val="006D2A5B"/>
    <w:rsid w:val="006D2AAB"/>
    <w:rsid w:val="006D3C00"/>
    <w:rsid w:val="006D509F"/>
    <w:rsid w:val="006D5FBF"/>
    <w:rsid w:val="006D72A7"/>
    <w:rsid w:val="006E211D"/>
    <w:rsid w:val="006E2232"/>
    <w:rsid w:val="006E2F06"/>
    <w:rsid w:val="006E3675"/>
    <w:rsid w:val="006E3DE9"/>
    <w:rsid w:val="006E40B4"/>
    <w:rsid w:val="006E4A50"/>
    <w:rsid w:val="006E4A7F"/>
    <w:rsid w:val="006E7E8F"/>
    <w:rsid w:val="006F0AB3"/>
    <w:rsid w:val="006F2BCB"/>
    <w:rsid w:val="006F31F4"/>
    <w:rsid w:val="006F385B"/>
    <w:rsid w:val="006F48FC"/>
    <w:rsid w:val="006F5B66"/>
    <w:rsid w:val="006F5ED3"/>
    <w:rsid w:val="006F5FC1"/>
    <w:rsid w:val="006F669E"/>
    <w:rsid w:val="006F74B8"/>
    <w:rsid w:val="006F7BE3"/>
    <w:rsid w:val="006F7F8F"/>
    <w:rsid w:val="00700280"/>
    <w:rsid w:val="00700FE2"/>
    <w:rsid w:val="00703C91"/>
    <w:rsid w:val="00704DF6"/>
    <w:rsid w:val="0070651C"/>
    <w:rsid w:val="00706675"/>
    <w:rsid w:val="00707EBA"/>
    <w:rsid w:val="0071154F"/>
    <w:rsid w:val="00711A7A"/>
    <w:rsid w:val="007132A3"/>
    <w:rsid w:val="0071339D"/>
    <w:rsid w:val="00713D24"/>
    <w:rsid w:val="007146BB"/>
    <w:rsid w:val="00714F28"/>
    <w:rsid w:val="00716421"/>
    <w:rsid w:val="00717BB5"/>
    <w:rsid w:val="00717C31"/>
    <w:rsid w:val="00717C89"/>
    <w:rsid w:val="007233C8"/>
    <w:rsid w:val="007245D5"/>
    <w:rsid w:val="007247F1"/>
    <w:rsid w:val="00724EFB"/>
    <w:rsid w:val="00726B4F"/>
    <w:rsid w:val="00727775"/>
    <w:rsid w:val="00731241"/>
    <w:rsid w:val="0073254A"/>
    <w:rsid w:val="0073334A"/>
    <w:rsid w:val="0073454C"/>
    <w:rsid w:val="00734D62"/>
    <w:rsid w:val="00734E75"/>
    <w:rsid w:val="0073716F"/>
    <w:rsid w:val="00737C8C"/>
    <w:rsid w:val="007401A3"/>
    <w:rsid w:val="00740532"/>
    <w:rsid w:val="007419C3"/>
    <w:rsid w:val="00743A3A"/>
    <w:rsid w:val="00743E9E"/>
    <w:rsid w:val="00745582"/>
    <w:rsid w:val="007467A7"/>
    <w:rsid w:val="00746997"/>
    <w:rsid w:val="007469DD"/>
    <w:rsid w:val="0074741B"/>
    <w:rsid w:val="0074759E"/>
    <w:rsid w:val="007478EA"/>
    <w:rsid w:val="00751C00"/>
    <w:rsid w:val="00751E85"/>
    <w:rsid w:val="00752994"/>
    <w:rsid w:val="0075415C"/>
    <w:rsid w:val="00755509"/>
    <w:rsid w:val="00760551"/>
    <w:rsid w:val="0076062A"/>
    <w:rsid w:val="007626F8"/>
    <w:rsid w:val="007634D9"/>
    <w:rsid w:val="00763502"/>
    <w:rsid w:val="00763D78"/>
    <w:rsid w:val="00764079"/>
    <w:rsid w:val="00765025"/>
    <w:rsid w:val="00771240"/>
    <w:rsid w:val="00772274"/>
    <w:rsid w:val="00772A7B"/>
    <w:rsid w:val="00773EB6"/>
    <w:rsid w:val="00774D96"/>
    <w:rsid w:val="0077553C"/>
    <w:rsid w:val="00776424"/>
    <w:rsid w:val="00776AA6"/>
    <w:rsid w:val="00777439"/>
    <w:rsid w:val="00777C33"/>
    <w:rsid w:val="00780A5C"/>
    <w:rsid w:val="00782635"/>
    <w:rsid w:val="0078331B"/>
    <w:rsid w:val="00784FE8"/>
    <w:rsid w:val="007855DC"/>
    <w:rsid w:val="00785693"/>
    <w:rsid w:val="00786216"/>
    <w:rsid w:val="00786FA9"/>
    <w:rsid w:val="007912F2"/>
    <w:rsid w:val="007913AB"/>
    <w:rsid w:val="007914F7"/>
    <w:rsid w:val="00791A95"/>
    <w:rsid w:val="007925DC"/>
    <w:rsid w:val="00793831"/>
    <w:rsid w:val="007939B5"/>
    <w:rsid w:val="00793B50"/>
    <w:rsid w:val="0079413D"/>
    <w:rsid w:val="00794372"/>
    <w:rsid w:val="00794D69"/>
    <w:rsid w:val="0079592F"/>
    <w:rsid w:val="007964AE"/>
    <w:rsid w:val="007A0493"/>
    <w:rsid w:val="007A05EB"/>
    <w:rsid w:val="007A216F"/>
    <w:rsid w:val="007A2694"/>
    <w:rsid w:val="007A2699"/>
    <w:rsid w:val="007A29D8"/>
    <w:rsid w:val="007A3725"/>
    <w:rsid w:val="007A3946"/>
    <w:rsid w:val="007A3A9F"/>
    <w:rsid w:val="007A4179"/>
    <w:rsid w:val="007A419A"/>
    <w:rsid w:val="007A49D5"/>
    <w:rsid w:val="007A4E02"/>
    <w:rsid w:val="007A59C0"/>
    <w:rsid w:val="007A77F4"/>
    <w:rsid w:val="007B1625"/>
    <w:rsid w:val="007B1E4D"/>
    <w:rsid w:val="007B3B0C"/>
    <w:rsid w:val="007B3BA1"/>
    <w:rsid w:val="007B3EA5"/>
    <w:rsid w:val="007B50C8"/>
    <w:rsid w:val="007B6199"/>
    <w:rsid w:val="007B706E"/>
    <w:rsid w:val="007B71EB"/>
    <w:rsid w:val="007C26DF"/>
    <w:rsid w:val="007C3BD4"/>
    <w:rsid w:val="007C45F2"/>
    <w:rsid w:val="007C57A3"/>
    <w:rsid w:val="007C6205"/>
    <w:rsid w:val="007C686A"/>
    <w:rsid w:val="007C68BF"/>
    <w:rsid w:val="007C728E"/>
    <w:rsid w:val="007C75A3"/>
    <w:rsid w:val="007C7CFA"/>
    <w:rsid w:val="007D0411"/>
    <w:rsid w:val="007D0C7C"/>
    <w:rsid w:val="007D11BE"/>
    <w:rsid w:val="007D12F5"/>
    <w:rsid w:val="007D2C53"/>
    <w:rsid w:val="007D3175"/>
    <w:rsid w:val="007D321B"/>
    <w:rsid w:val="007D3D60"/>
    <w:rsid w:val="007D508D"/>
    <w:rsid w:val="007D5A99"/>
    <w:rsid w:val="007D66B5"/>
    <w:rsid w:val="007D761D"/>
    <w:rsid w:val="007E1980"/>
    <w:rsid w:val="007E29CE"/>
    <w:rsid w:val="007E37BF"/>
    <w:rsid w:val="007E4771"/>
    <w:rsid w:val="007E49D9"/>
    <w:rsid w:val="007E4B76"/>
    <w:rsid w:val="007E541E"/>
    <w:rsid w:val="007E5E57"/>
    <w:rsid w:val="007E5EA8"/>
    <w:rsid w:val="007E7245"/>
    <w:rsid w:val="007F0AC4"/>
    <w:rsid w:val="007F0CD7"/>
    <w:rsid w:val="007F0CF1"/>
    <w:rsid w:val="007F0F73"/>
    <w:rsid w:val="007F0FE4"/>
    <w:rsid w:val="007F12A5"/>
    <w:rsid w:val="007F1534"/>
    <w:rsid w:val="007F2AD6"/>
    <w:rsid w:val="007F3462"/>
    <w:rsid w:val="007F456D"/>
    <w:rsid w:val="007F4CF1"/>
    <w:rsid w:val="007F5C3D"/>
    <w:rsid w:val="007F74DB"/>
    <w:rsid w:val="007F7550"/>
    <w:rsid w:val="007F758D"/>
    <w:rsid w:val="007F7D52"/>
    <w:rsid w:val="008001BB"/>
    <w:rsid w:val="008010F0"/>
    <w:rsid w:val="008022D6"/>
    <w:rsid w:val="0080232C"/>
    <w:rsid w:val="00803A7B"/>
    <w:rsid w:val="00803B3C"/>
    <w:rsid w:val="008051EA"/>
    <w:rsid w:val="00805C06"/>
    <w:rsid w:val="00805C88"/>
    <w:rsid w:val="0080654C"/>
    <w:rsid w:val="0080658E"/>
    <w:rsid w:val="008070B9"/>
    <w:rsid w:val="008071C6"/>
    <w:rsid w:val="00807605"/>
    <w:rsid w:val="00812836"/>
    <w:rsid w:val="00812A8F"/>
    <w:rsid w:val="00813C31"/>
    <w:rsid w:val="00817A00"/>
    <w:rsid w:val="00817ADA"/>
    <w:rsid w:val="008208D8"/>
    <w:rsid w:val="008208FE"/>
    <w:rsid w:val="00820FE0"/>
    <w:rsid w:val="008211CF"/>
    <w:rsid w:val="0082254D"/>
    <w:rsid w:val="00822C77"/>
    <w:rsid w:val="00824C50"/>
    <w:rsid w:val="00825D59"/>
    <w:rsid w:val="00826EC4"/>
    <w:rsid w:val="00827394"/>
    <w:rsid w:val="008313F4"/>
    <w:rsid w:val="008319C4"/>
    <w:rsid w:val="00831B2D"/>
    <w:rsid w:val="00831E24"/>
    <w:rsid w:val="00831F7D"/>
    <w:rsid w:val="00835AEE"/>
    <w:rsid w:val="00835DB3"/>
    <w:rsid w:val="0083617B"/>
    <w:rsid w:val="00836443"/>
    <w:rsid w:val="00836DB0"/>
    <w:rsid w:val="0083700E"/>
    <w:rsid w:val="008371BD"/>
    <w:rsid w:val="0084006D"/>
    <w:rsid w:val="0084076D"/>
    <w:rsid w:val="0084134D"/>
    <w:rsid w:val="008418EC"/>
    <w:rsid w:val="00841DEE"/>
    <w:rsid w:val="0084262B"/>
    <w:rsid w:val="00843072"/>
    <w:rsid w:val="00843C20"/>
    <w:rsid w:val="00843F2C"/>
    <w:rsid w:val="00845206"/>
    <w:rsid w:val="00846ED7"/>
    <w:rsid w:val="00847215"/>
    <w:rsid w:val="0084737E"/>
    <w:rsid w:val="00850492"/>
    <w:rsid w:val="008504A8"/>
    <w:rsid w:val="00850F8C"/>
    <w:rsid w:val="00851782"/>
    <w:rsid w:val="00852292"/>
    <w:rsid w:val="0085282E"/>
    <w:rsid w:val="008534D1"/>
    <w:rsid w:val="00853A37"/>
    <w:rsid w:val="00854025"/>
    <w:rsid w:val="00854AFE"/>
    <w:rsid w:val="00854E39"/>
    <w:rsid w:val="0085555C"/>
    <w:rsid w:val="0085558F"/>
    <w:rsid w:val="0085672F"/>
    <w:rsid w:val="00860198"/>
    <w:rsid w:val="00864984"/>
    <w:rsid w:val="00864B5C"/>
    <w:rsid w:val="00870312"/>
    <w:rsid w:val="0087198C"/>
    <w:rsid w:val="00872C1F"/>
    <w:rsid w:val="00872D17"/>
    <w:rsid w:val="00873B42"/>
    <w:rsid w:val="00874BFE"/>
    <w:rsid w:val="00874FA8"/>
    <w:rsid w:val="008752B8"/>
    <w:rsid w:val="008770AB"/>
    <w:rsid w:val="0087715A"/>
    <w:rsid w:val="00880E6A"/>
    <w:rsid w:val="00881D0D"/>
    <w:rsid w:val="0088359A"/>
    <w:rsid w:val="00883D4E"/>
    <w:rsid w:val="00884657"/>
    <w:rsid w:val="00884A33"/>
    <w:rsid w:val="008856D8"/>
    <w:rsid w:val="00887897"/>
    <w:rsid w:val="00890682"/>
    <w:rsid w:val="0089207F"/>
    <w:rsid w:val="008921E9"/>
    <w:rsid w:val="0089227F"/>
    <w:rsid w:val="00892E82"/>
    <w:rsid w:val="00893F24"/>
    <w:rsid w:val="00896EF4"/>
    <w:rsid w:val="008A0884"/>
    <w:rsid w:val="008A2033"/>
    <w:rsid w:val="008A483E"/>
    <w:rsid w:val="008A65CE"/>
    <w:rsid w:val="008A6A8E"/>
    <w:rsid w:val="008A6F4A"/>
    <w:rsid w:val="008A796A"/>
    <w:rsid w:val="008A7B91"/>
    <w:rsid w:val="008B0850"/>
    <w:rsid w:val="008B1FC1"/>
    <w:rsid w:val="008B2C8D"/>
    <w:rsid w:val="008B3222"/>
    <w:rsid w:val="008B5941"/>
    <w:rsid w:val="008B5C9D"/>
    <w:rsid w:val="008B7B39"/>
    <w:rsid w:val="008C0419"/>
    <w:rsid w:val="008C1B58"/>
    <w:rsid w:val="008C1DFD"/>
    <w:rsid w:val="008C3594"/>
    <w:rsid w:val="008C39AE"/>
    <w:rsid w:val="008C4146"/>
    <w:rsid w:val="008C4F1B"/>
    <w:rsid w:val="008C522D"/>
    <w:rsid w:val="008C52FD"/>
    <w:rsid w:val="008C590D"/>
    <w:rsid w:val="008C5990"/>
    <w:rsid w:val="008C5A4D"/>
    <w:rsid w:val="008C5E96"/>
    <w:rsid w:val="008C64F9"/>
    <w:rsid w:val="008C6AC9"/>
    <w:rsid w:val="008C767C"/>
    <w:rsid w:val="008D068B"/>
    <w:rsid w:val="008D0E69"/>
    <w:rsid w:val="008D1297"/>
    <w:rsid w:val="008D1B98"/>
    <w:rsid w:val="008D3719"/>
    <w:rsid w:val="008D46CC"/>
    <w:rsid w:val="008D78DF"/>
    <w:rsid w:val="008E0295"/>
    <w:rsid w:val="008E031B"/>
    <w:rsid w:val="008E0C22"/>
    <w:rsid w:val="008E3CCD"/>
    <w:rsid w:val="008E4D46"/>
    <w:rsid w:val="008E6D48"/>
    <w:rsid w:val="008E7029"/>
    <w:rsid w:val="008E7EF6"/>
    <w:rsid w:val="008F1F98"/>
    <w:rsid w:val="008F25D1"/>
    <w:rsid w:val="008F430A"/>
    <w:rsid w:val="008F6758"/>
    <w:rsid w:val="00900679"/>
    <w:rsid w:val="00900910"/>
    <w:rsid w:val="00903317"/>
    <w:rsid w:val="009040DD"/>
    <w:rsid w:val="00904124"/>
    <w:rsid w:val="00904332"/>
    <w:rsid w:val="00905B47"/>
    <w:rsid w:val="00910AFF"/>
    <w:rsid w:val="0091331C"/>
    <w:rsid w:val="009142C5"/>
    <w:rsid w:val="00914862"/>
    <w:rsid w:val="009178F5"/>
    <w:rsid w:val="00917F0C"/>
    <w:rsid w:val="00920A04"/>
    <w:rsid w:val="00922FC6"/>
    <w:rsid w:val="00923DAA"/>
    <w:rsid w:val="00925123"/>
    <w:rsid w:val="00925AF7"/>
    <w:rsid w:val="009279DE"/>
    <w:rsid w:val="00927F93"/>
    <w:rsid w:val="00930116"/>
    <w:rsid w:val="00931711"/>
    <w:rsid w:val="00933501"/>
    <w:rsid w:val="00933A9C"/>
    <w:rsid w:val="00933DEF"/>
    <w:rsid w:val="009349F5"/>
    <w:rsid w:val="00935828"/>
    <w:rsid w:val="00937CB5"/>
    <w:rsid w:val="0094212C"/>
    <w:rsid w:val="00942511"/>
    <w:rsid w:val="00942D6B"/>
    <w:rsid w:val="0094415D"/>
    <w:rsid w:val="00945B11"/>
    <w:rsid w:val="00945D68"/>
    <w:rsid w:val="0095082A"/>
    <w:rsid w:val="00953549"/>
    <w:rsid w:val="00953B35"/>
    <w:rsid w:val="00953EBF"/>
    <w:rsid w:val="00954689"/>
    <w:rsid w:val="00954E1D"/>
    <w:rsid w:val="00955D2F"/>
    <w:rsid w:val="00955D78"/>
    <w:rsid w:val="00956E00"/>
    <w:rsid w:val="00957919"/>
    <w:rsid w:val="00957E40"/>
    <w:rsid w:val="009617C9"/>
    <w:rsid w:val="00961C93"/>
    <w:rsid w:val="00961CAE"/>
    <w:rsid w:val="00962B54"/>
    <w:rsid w:val="009643CE"/>
    <w:rsid w:val="00965324"/>
    <w:rsid w:val="009655BA"/>
    <w:rsid w:val="00965ECF"/>
    <w:rsid w:val="00966428"/>
    <w:rsid w:val="009702D0"/>
    <w:rsid w:val="0097091E"/>
    <w:rsid w:val="00972322"/>
    <w:rsid w:val="0097281E"/>
    <w:rsid w:val="0097293B"/>
    <w:rsid w:val="00972CB6"/>
    <w:rsid w:val="009738E1"/>
    <w:rsid w:val="009748ED"/>
    <w:rsid w:val="009760D3"/>
    <w:rsid w:val="00977132"/>
    <w:rsid w:val="00980B96"/>
    <w:rsid w:val="00981926"/>
    <w:rsid w:val="00981A4B"/>
    <w:rsid w:val="00982501"/>
    <w:rsid w:val="00982AC3"/>
    <w:rsid w:val="00982DFF"/>
    <w:rsid w:val="0098409B"/>
    <w:rsid w:val="00984E4D"/>
    <w:rsid w:val="009877D3"/>
    <w:rsid w:val="00990733"/>
    <w:rsid w:val="00990A68"/>
    <w:rsid w:val="00991100"/>
    <w:rsid w:val="009919D1"/>
    <w:rsid w:val="00994276"/>
    <w:rsid w:val="00994E8F"/>
    <w:rsid w:val="00994F1D"/>
    <w:rsid w:val="009951DC"/>
    <w:rsid w:val="009954D7"/>
    <w:rsid w:val="009959BB"/>
    <w:rsid w:val="00997158"/>
    <w:rsid w:val="009A0341"/>
    <w:rsid w:val="009A1325"/>
    <w:rsid w:val="009A339B"/>
    <w:rsid w:val="009A3A7C"/>
    <w:rsid w:val="009A4A9C"/>
    <w:rsid w:val="009A4B75"/>
    <w:rsid w:val="009A5034"/>
    <w:rsid w:val="009A5DA3"/>
    <w:rsid w:val="009A6379"/>
    <w:rsid w:val="009A63C0"/>
    <w:rsid w:val="009A76AB"/>
    <w:rsid w:val="009A77F2"/>
    <w:rsid w:val="009B08F1"/>
    <w:rsid w:val="009B18D4"/>
    <w:rsid w:val="009B28FB"/>
    <w:rsid w:val="009B2ADB"/>
    <w:rsid w:val="009B2E16"/>
    <w:rsid w:val="009B5730"/>
    <w:rsid w:val="009B5EA9"/>
    <w:rsid w:val="009B603A"/>
    <w:rsid w:val="009B6AB8"/>
    <w:rsid w:val="009C0BA1"/>
    <w:rsid w:val="009C0CFC"/>
    <w:rsid w:val="009C0D2E"/>
    <w:rsid w:val="009C1B16"/>
    <w:rsid w:val="009C20CB"/>
    <w:rsid w:val="009C2D0E"/>
    <w:rsid w:val="009C333F"/>
    <w:rsid w:val="009C3583"/>
    <w:rsid w:val="009C3DAC"/>
    <w:rsid w:val="009C42E0"/>
    <w:rsid w:val="009C610A"/>
    <w:rsid w:val="009D05D1"/>
    <w:rsid w:val="009D0F74"/>
    <w:rsid w:val="009D1AFB"/>
    <w:rsid w:val="009D34F5"/>
    <w:rsid w:val="009D517C"/>
    <w:rsid w:val="009D5362"/>
    <w:rsid w:val="009D634A"/>
    <w:rsid w:val="009D63DB"/>
    <w:rsid w:val="009E1415"/>
    <w:rsid w:val="009E1B93"/>
    <w:rsid w:val="009E2068"/>
    <w:rsid w:val="009E37D6"/>
    <w:rsid w:val="009E5BE5"/>
    <w:rsid w:val="009E5D0E"/>
    <w:rsid w:val="009E6116"/>
    <w:rsid w:val="009E70A8"/>
    <w:rsid w:val="009E714A"/>
    <w:rsid w:val="009E77D9"/>
    <w:rsid w:val="009F1271"/>
    <w:rsid w:val="009F14D6"/>
    <w:rsid w:val="009F1533"/>
    <w:rsid w:val="009F23A7"/>
    <w:rsid w:val="009F25F3"/>
    <w:rsid w:val="009F2B24"/>
    <w:rsid w:val="009F5236"/>
    <w:rsid w:val="009F52E6"/>
    <w:rsid w:val="009F54D9"/>
    <w:rsid w:val="009F6A9C"/>
    <w:rsid w:val="00A0104D"/>
    <w:rsid w:val="00A01578"/>
    <w:rsid w:val="00A02E43"/>
    <w:rsid w:val="00A04DAF"/>
    <w:rsid w:val="00A04E8F"/>
    <w:rsid w:val="00A065F9"/>
    <w:rsid w:val="00A07F34"/>
    <w:rsid w:val="00A1059D"/>
    <w:rsid w:val="00A10E8E"/>
    <w:rsid w:val="00A11540"/>
    <w:rsid w:val="00A11BD9"/>
    <w:rsid w:val="00A13503"/>
    <w:rsid w:val="00A13738"/>
    <w:rsid w:val="00A14858"/>
    <w:rsid w:val="00A14DF9"/>
    <w:rsid w:val="00A154BA"/>
    <w:rsid w:val="00A16C68"/>
    <w:rsid w:val="00A1752D"/>
    <w:rsid w:val="00A208D7"/>
    <w:rsid w:val="00A21225"/>
    <w:rsid w:val="00A214D5"/>
    <w:rsid w:val="00A21608"/>
    <w:rsid w:val="00A22154"/>
    <w:rsid w:val="00A2258C"/>
    <w:rsid w:val="00A2292F"/>
    <w:rsid w:val="00A22DF9"/>
    <w:rsid w:val="00A23CA8"/>
    <w:rsid w:val="00A24E9B"/>
    <w:rsid w:val="00A25BD1"/>
    <w:rsid w:val="00A25C38"/>
    <w:rsid w:val="00A25FF4"/>
    <w:rsid w:val="00A30A28"/>
    <w:rsid w:val="00A311D2"/>
    <w:rsid w:val="00A32316"/>
    <w:rsid w:val="00A3314C"/>
    <w:rsid w:val="00A33F63"/>
    <w:rsid w:val="00A33F95"/>
    <w:rsid w:val="00A3589E"/>
    <w:rsid w:val="00A35A74"/>
    <w:rsid w:val="00A35F59"/>
    <w:rsid w:val="00A36BBE"/>
    <w:rsid w:val="00A406FB"/>
    <w:rsid w:val="00A40AA0"/>
    <w:rsid w:val="00A42112"/>
    <w:rsid w:val="00A4226C"/>
    <w:rsid w:val="00A422E2"/>
    <w:rsid w:val="00A42611"/>
    <w:rsid w:val="00A4307A"/>
    <w:rsid w:val="00A4356E"/>
    <w:rsid w:val="00A43AA1"/>
    <w:rsid w:val="00A44550"/>
    <w:rsid w:val="00A453FF"/>
    <w:rsid w:val="00A47EBB"/>
    <w:rsid w:val="00A507D6"/>
    <w:rsid w:val="00A51CDD"/>
    <w:rsid w:val="00A54C48"/>
    <w:rsid w:val="00A5566E"/>
    <w:rsid w:val="00A556C2"/>
    <w:rsid w:val="00A55B9A"/>
    <w:rsid w:val="00A55C30"/>
    <w:rsid w:val="00A57824"/>
    <w:rsid w:val="00A612B4"/>
    <w:rsid w:val="00A615C1"/>
    <w:rsid w:val="00A63BF6"/>
    <w:rsid w:val="00A64116"/>
    <w:rsid w:val="00A6730D"/>
    <w:rsid w:val="00A6743A"/>
    <w:rsid w:val="00A71625"/>
    <w:rsid w:val="00A71B9B"/>
    <w:rsid w:val="00A72562"/>
    <w:rsid w:val="00A728A4"/>
    <w:rsid w:val="00A72CB1"/>
    <w:rsid w:val="00A72E03"/>
    <w:rsid w:val="00A72E85"/>
    <w:rsid w:val="00A72F61"/>
    <w:rsid w:val="00A74408"/>
    <w:rsid w:val="00A751C7"/>
    <w:rsid w:val="00A75AEC"/>
    <w:rsid w:val="00A75FDB"/>
    <w:rsid w:val="00A767F0"/>
    <w:rsid w:val="00A76EB4"/>
    <w:rsid w:val="00A77560"/>
    <w:rsid w:val="00A77921"/>
    <w:rsid w:val="00A77D19"/>
    <w:rsid w:val="00A80E78"/>
    <w:rsid w:val="00A8331C"/>
    <w:rsid w:val="00A8545B"/>
    <w:rsid w:val="00A85F47"/>
    <w:rsid w:val="00A87844"/>
    <w:rsid w:val="00A87AFA"/>
    <w:rsid w:val="00A9230E"/>
    <w:rsid w:val="00A94E34"/>
    <w:rsid w:val="00A960CD"/>
    <w:rsid w:val="00A96C88"/>
    <w:rsid w:val="00A97098"/>
    <w:rsid w:val="00A97B5B"/>
    <w:rsid w:val="00A97C35"/>
    <w:rsid w:val="00AA038C"/>
    <w:rsid w:val="00AA0D24"/>
    <w:rsid w:val="00AA11F5"/>
    <w:rsid w:val="00AA1A4F"/>
    <w:rsid w:val="00AA24FE"/>
    <w:rsid w:val="00AA2D2C"/>
    <w:rsid w:val="00AA4C80"/>
    <w:rsid w:val="00AA7A09"/>
    <w:rsid w:val="00AB00DB"/>
    <w:rsid w:val="00AB0EBC"/>
    <w:rsid w:val="00AB160D"/>
    <w:rsid w:val="00AB3217"/>
    <w:rsid w:val="00AB3B50"/>
    <w:rsid w:val="00AB3F86"/>
    <w:rsid w:val="00AB4426"/>
    <w:rsid w:val="00AB4B85"/>
    <w:rsid w:val="00AB51CB"/>
    <w:rsid w:val="00AB5BF5"/>
    <w:rsid w:val="00AC05B1"/>
    <w:rsid w:val="00AC0C79"/>
    <w:rsid w:val="00AC103F"/>
    <w:rsid w:val="00AC16A3"/>
    <w:rsid w:val="00AC3002"/>
    <w:rsid w:val="00AC3467"/>
    <w:rsid w:val="00AC3BE7"/>
    <w:rsid w:val="00AC3E4A"/>
    <w:rsid w:val="00AC439E"/>
    <w:rsid w:val="00AC4CD0"/>
    <w:rsid w:val="00AC62D0"/>
    <w:rsid w:val="00AC63C6"/>
    <w:rsid w:val="00AC6CC7"/>
    <w:rsid w:val="00AC71CB"/>
    <w:rsid w:val="00AC7978"/>
    <w:rsid w:val="00AC7FE2"/>
    <w:rsid w:val="00AD1014"/>
    <w:rsid w:val="00AD178E"/>
    <w:rsid w:val="00AD206C"/>
    <w:rsid w:val="00AD356C"/>
    <w:rsid w:val="00AD3B62"/>
    <w:rsid w:val="00AD3F93"/>
    <w:rsid w:val="00AD4B26"/>
    <w:rsid w:val="00AD6051"/>
    <w:rsid w:val="00AD7AA3"/>
    <w:rsid w:val="00AE0B6C"/>
    <w:rsid w:val="00AE0D19"/>
    <w:rsid w:val="00AE27E3"/>
    <w:rsid w:val="00AE2914"/>
    <w:rsid w:val="00AE314B"/>
    <w:rsid w:val="00AE3A38"/>
    <w:rsid w:val="00AE3A99"/>
    <w:rsid w:val="00AE3BAE"/>
    <w:rsid w:val="00AE3D57"/>
    <w:rsid w:val="00AE5415"/>
    <w:rsid w:val="00AE6D15"/>
    <w:rsid w:val="00AF06E1"/>
    <w:rsid w:val="00AF1FC2"/>
    <w:rsid w:val="00AF31A2"/>
    <w:rsid w:val="00AF33B0"/>
    <w:rsid w:val="00AF60E8"/>
    <w:rsid w:val="00AF646C"/>
    <w:rsid w:val="00AF6BA8"/>
    <w:rsid w:val="00AF7D60"/>
    <w:rsid w:val="00B00049"/>
    <w:rsid w:val="00B023CE"/>
    <w:rsid w:val="00B03980"/>
    <w:rsid w:val="00B039D0"/>
    <w:rsid w:val="00B04182"/>
    <w:rsid w:val="00B043CF"/>
    <w:rsid w:val="00B04E35"/>
    <w:rsid w:val="00B05513"/>
    <w:rsid w:val="00B07AE3"/>
    <w:rsid w:val="00B07C45"/>
    <w:rsid w:val="00B10C4E"/>
    <w:rsid w:val="00B11430"/>
    <w:rsid w:val="00B11518"/>
    <w:rsid w:val="00B12061"/>
    <w:rsid w:val="00B12822"/>
    <w:rsid w:val="00B133D3"/>
    <w:rsid w:val="00B13C3F"/>
    <w:rsid w:val="00B16312"/>
    <w:rsid w:val="00B16BA1"/>
    <w:rsid w:val="00B17096"/>
    <w:rsid w:val="00B1783B"/>
    <w:rsid w:val="00B178C7"/>
    <w:rsid w:val="00B23C39"/>
    <w:rsid w:val="00B23CF2"/>
    <w:rsid w:val="00B24419"/>
    <w:rsid w:val="00B25C23"/>
    <w:rsid w:val="00B261D9"/>
    <w:rsid w:val="00B26660"/>
    <w:rsid w:val="00B276BD"/>
    <w:rsid w:val="00B30268"/>
    <w:rsid w:val="00B321E8"/>
    <w:rsid w:val="00B32CB7"/>
    <w:rsid w:val="00B33DBE"/>
    <w:rsid w:val="00B34ED5"/>
    <w:rsid w:val="00B352F4"/>
    <w:rsid w:val="00B353EB"/>
    <w:rsid w:val="00B369C9"/>
    <w:rsid w:val="00B412F4"/>
    <w:rsid w:val="00B41519"/>
    <w:rsid w:val="00B42052"/>
    <w:rsid w:val="00B423D0"/>
    <w:rsid w:val="00B439C4"/>
    <w:rsid w:val="00B44268"/>
    <w:rsid w:val="00B44D8B"/>
    <w:rsid w:val="00B4535E"/>
    <w:rsid w:val="00B4617E"/>
    <w:rsid w:val="00B46BA3"/>
    <w:rsid w:val="00B47549"/>
    <w:rsid w:val="00B47C1F"/>
    <w:rsid w:val="00B506BC"/>
    <w:rsid w:val="00B52A8C"/>
    <w:rsid w:val="00B52CC7"/>
    <w:rsid w:val="00B5434C"/>
    <w:rsid w:val="00B549F1"/>
    <w:rsid w:val="00B54A4E"/>
    <w:rsid w:val="00B55267"/>
    <w:rsid w:val="00B60DB9"/>
    <w:rsid w:val="00B6279D"/>
    <w:rsid w:val="00B636A8"/>
    <w:rsid w:val="00B65A5B"/>
    <w:rsid w:val="00B6600C"/>
    <w:rsid w:val="00B665C6"/>
    <w:rsid w:val="00B66C02"/>
    <w:rsid w:val="00B66E57"/>
    <w:rsid w:val="00B66F7A"/>
    <w:rsid w:val="00B70BB4"/>
    <w:rsid w:val="00B72A0F"/>
    <w:rsid w:val="00B73DFA"/>
    <w:rsid w:val="00B75C5C"/>
    <w:rsid w:val="00B77970"/>
    <w:rsid w:val="00B805AF"/>
    <w:rsid w:val="00B8149B"/>
    <w:rsid w:val="00B81BB7"/>
    <w:rsid w:val="00B8239D"/>
    <w:rsid w:val="00B844E7"/>
    <w:rsid w:val="00B85880"/>
    <w:rsid w:val="00B861DB"/>
    <w:rsid w:val="00B869EC"/>
    <w:rsid w:val="00B86A34"/>
    <w:rsid w:val="00B86E8F"/>
    <w:rsid w:val="00B86F1A"/>
    <w:rsid w:val="00B8732F"/>
    <w:rsid w:val="00B87CA6"/>
    <w:rsid w:val="00B9291C"/>
    <w:rsid w:val="00B9397A"/>
    <w:rsid w:val="00B94EA5"/>
    <w:rsid w:val="00B95622"/>
    <w:rsid w:val="00B956F8"/>
    <w:rsid w:val="00B9591B"/>
    <w:rsid w:val="00B9633D"/>
    <w:rsid w:val="00B9645E"/>
    <w:rsid w:val="00B964D1"/>
    <w:rsid w:val="00B96611"/>
    <w:rsid w:val="00B97451"/>
    <w:rsid w:val="00BA1E19"/>
    <w:rsid w:val="00BA26AF"/>
    <w:rsid w:val="00BA29FE"/>
    <w:rsid w:val="00BA2DC2"/>
    <w:rsid w:val="00BA2EBE"/>
    <w:rsid w:val="00BA30AE"/>
    <w:rsid w:val="00BA33D2"/>
    <w:rsid w:val="00BA4329"/>
    <w:rsid w:val="00BA433D"/>
    <w:rsid w:val="00BA6465"/>
    <w:rsid w:val="00BB0F28"/>
    <w:rsid w:val="00BB1220"/>
    <w:rsid w:val="00BB223C"/>
    <w:rsid w:val="00BB34C7"/>
    <w:rsid w:val="00BB41FA"/>
    <w:rsid w:val="00BB458A"/>
    <w:rsid w:val="00BB4A3F"/>
    <w:rsid w:val="00BB4A47"/>
    <w:rsid w:val="00BB4CB1"/>
    <w:rsid w:val="00BB645D"/>
    <w:rsid w:val="00BB7443"/>
    <w:rsid w:val="00BC2AF6"/>
    <w:rsid w:val="00BC359C"/>
    <w:rsid w:val="00BC4FAD"/>
    <w:rsid w:val="00BC5E9C"/>
    <w:rsid w:val="00BC6B8B"/>
    <w:rsid w:val="00BC728F"/>
    <w:rsid w:val="00BD00D3"/>
    <w:rsid w:val="00BD0C4A"/>
    <w:rsid w:val="00BD1659"/>
    <w:rsid w:val="00BD1D87"/>
    <w:rsid w:val="00BD2D4A"/>
    <w:rsid w:val="00BD3AA9"/>
    <w:rsid w:val="00BD47F0"/>
    <w:rsid w:val="00BD4A18"/>
    <w:rsid w:val="00BD512E"/>
    <w:rsid w:val="00BD5784"/>
    <w:rsid w:val="00BD64EA"/>
    <w:rsid w:val="00BD6591"/>
    <w:rsid w:val="00BD6DB2"/>
    <w:rsid w:val="00BE11CF"/>
    <w:rsid w:val="00BE21AB"/>
    <w:rsid w:val="00BE3B30"/>
    <w:rsid w:val="00BE4342"/>
    <w:rsid w:val="00BE4D50"/>
    <w:rsid w:val="00BE55CB"/>
    <w:rsid w:val="00BE5CC1"/>
    <w:rsid w:val="00BE75E0"/>
    <w:rsid w:val="00BE7DF7"/>
    <w:rsid w:val="00BF0420"/>
    <w:rsid w:val="00BF1674"/>
    <w:rsid w:val="00BF2508"/>
    <w:rsid w:val="00BF3A35"/>
    <w:rsid w:val="00BF54C9"/>
    <w:rsid w:val="00BF60A8"/>
    <w:rsid w:val="00BF617A"/>
    <w:rsid w:val="00BF6AB4"/>
    <w:rsid w:val="00C00277"/>
    <w:rsid w:val="00C00584"/>
    <w:rsid w:val="00C00B91"/>
    <w:rsid w:val="00C00FCB"/>
    <w:rsid w:val="00C016CC"/>
    <w:rsid w:val="00C02130"/>
    <w:rsid w:val="00C030A3"/>
    <w:rsid w:val="00C0379D"/>
    <w:rsid w:val="00C03931"/>
    <w:rsid w:val="00C04B79"/>
    <w:rsid w:val="00C05FE3"/>
    <w:rsid w:val="00C06565"/>
    <w:rsid w:val="00C06A10"/>
    <w:rsid w:val="00C077ED"/>
    <w:rsid w:val="00C120D4"/>
    <w:rsid w:val="00C124FE"/>
    <w:rsid w:val="00C13A63"/>
    <w:rsid w:val="00C144A9"/>
    <w:rsid w:val="00C14D3E"/>
    <w:rsid w:val="00C17891"/>
    <w:rsid w:val="00C21113"/>
    <w:rsid w:val="00C2136D"/>
    <w:rsid w:val="00C214EE"/>
    <w:rsid w:val="00C21D6A"/>
    <w:rsid w:val="00C22C6B"/>
    <w:rsid w:val="00C2314B"/>
    <w:rsid w:val="00C23389"/>
    <w:rsid w:val="00C2365F"/>
    <w:rsid w:val="00C23997"/>
    <w:rsid w:val="00C24038"/>
    <w:rsid w:val="00C24551"/>
    <w:rsid w:val="00C2473D"/>
    <w:rsid w:val="00C24971"/>
    <w:rsid w:val="00C24BBE"/>
    <w:rsid w:val="00C26BE5"/>
    <w:rsid w:val="00C26C30"/>
    <w:rsid w:val="00C26E4D"/>
    <w:rsid w:val="00C27458"/>
    <w:rsid w:val="00C27909"/>
    <w:rsid w:val="00C27B03"/>
    <w:rsid w:val="00C30413"/>
    <w:rsid w:val="00C3091E"/>
    <w:rsid w:val="00C30CFE"/>
    <w:rsid w:val="00C314E1"/>
    <w:rsid w:val="00C32DEF"/>
    <w:rsid w:val="00C3394B"/>
    <w:rsid w:val="00C34397"/>
    <w:rsid w:val="00C34737"/>
    <w:rsid w:val="00C350EB"/>
    <w:rsid w:val="00C4007D"/>
    <w:rsid w:val="00C4095D"/>
    <w:rsid w:val="00C416BF"/>
    <w:rsid w:val="00C4241C"/>
    <w:rsid w:val="00C42748"/>
    <w:rsid w:val="00C434F9"/>
    <w:rsid w:val="00C438F8"/>
    <w:rsid w:val="00C43AF0"/>
    <w:rsid w:val="00C454B1"/>
    <w:rsid w:val="00C46587"/>
    <w:rsid w:val="00C5089A"/>
    <w:rsid w:val="00C511B5"/>
    <w:rsid w:val="00C51B6E"/>
    <w:rsid w:val="00C52CC7"/>
    <w:rsid w:val="00C536E9"/>
    <w:rsid w:val="00C53E7C"/>
    <w:rsid w:val="00C544AE"/>
    <w:rsid w:val="00C56B8A"/>
    <w:rsid w:val="00C57017"/>
    <w:rsid w:val="00C57601"/>
    <w:rsid w:val="00C601D2"/>
    <w:rsid w:val="00C603A0"/>
    <w:rsid w:val="00C605E4"/>
    <w:rsid w:val="00C60E77"/>
    <w:rsid w:val="00C611F6"/>
    <w:rsid w:val="00C61712"/>
    <w:rsid w:val="00C618BF"/>
    <w:rsid w:val="00C61A6B"/>
    <w:rsid w:val="00C61F10"/>
    <w:rsid w:val="00C63674"/>
    <w:rsid w:val="00C646FE"/>
    <w:rsid w:val="00C64BE2"/>
    <w:rsid w:val="00C650D1"/>
    <w:rsid w:val="00C657AB"/>
    <w:rsid w:val="00C65BCC"/>
    <w:rsid w:val="00C66970"/>
    <w:rsid w:val="00C66E6D"/>
    <w:rsid w:val="00C67D57"/>
    <w:rsid w:val="00C70874"/>
    <w:rsid w:val="00C71759"/>
    <w:rsid w:val="00C72D8B"/>
    <w:rsid w:val="00C73A23"/>
    <w:rsid w:val="00C75661"/>
    <w:rsid w:val="00C763DD"/>
    <w:rsid w:val="00C77E7A"/>
    <w:rsid w:val="00C81266"/>
    <w:rsid w:val="00C83DDC"/>
    <w:rsid w:val="00C8691C"/>
    <w:rsid w:val="00C86E2E"/>
    <w:rsid w:val="00C91B7A"/>
    <w:rsid w:val="00C91E8E"/>
    <w:rsid w:val="00C949F1"/>
    <w:rsid w:val="00C94DA0"/>
    <w:rsid w:val="00C96400"/>
    <w:rsid w:val="00C97267"/>
    <w:rsid w:val="00C9760D"/>
    <w:rsid w:val="00C97B0D"/>
    <w:rsid w:val="00CA0487"/>
    <w:rsid w:val="00CA168A"/>
    <w:rsid w:val="00CA19A6"/>
    <w:rsid w:val="00CA357E"/>
    <w:rsid w:val="00CA3629"/>
    <w:rsid w:val="00CA395C"/>
    <w:rsid w:val="00CA4345"/>
    <w:rsid w:val="00CA44F9"/>
    <w:rsid w:val="00CA4A69"/>
    <w:rsid w:val="00CA50E4"/>
    <w:rsid w:val="00CA5587"/>
    <w:rsid w:val="00CA5828"/>
    <w:rsid w:val="00CB1282"/>
    <w:rsid w:val="00CB25F3"/>
    <w:rsid w:val="00CB3245"/>
    <w:rsid w:val="00CB375A"/>
    <w:rsid w:val="00CB4117"/>
    <w:rsid w:val="00CB4989"/>
    <w:rsid w:val="00CB4ED8"/>
    <w:rsid w:val="00CB510A"/>
    <w:rsid w:val="00CB54EB"/>
    <w:rsid w:val="00CB5BC1"/>
    <w:rsid w:val="00CB6EA8"/>
    <w:rsid w:val="00CB7667"/>
    <w:rsid w:val="00CC08B3"/>
    <w:rsid w:val="00CC0B4B"/>
    <w:rsid w:val="00CC0F5D"/>
    <w:rsid w:val="00CC1385"/>
    <w:rsid w:val="00CC1E8B"/>
    <w:rsid w:val="00CC358E"/>
    <w:rsid w:val="00CC3E0C"/>
    <w:rsid w:val="00CC4C57"/>
    <w:rsid w:val="00CC58D3"/>
    <w:rsid w:val="00CC5B58"/>
    <w:rsid w:val="00CC6E52"/>
    <w:rsid w:val="00CC784D"/>
    <w:rsid w:val="00CC7866"/>
    <w:rsid w:val="00CD00C5"/>
    <w:rsid w:val="00CD0647"/>
    <w:rsid w:val="00CD07B0"/>
    <w:rsid w:val="00CD1BF0"/>
    <w:rsid w:val="00CD3738"/>
    <w:rsid w:val="00CD463B"/>
    <w:rsid w:val="00CD6B5B"/>
    <w:rsid w:val="00CD71F0"/>
    <w:rsid w:val="00CD7297"/>
    <w:rsid w:val="00CD78C4"/>
    <w:rsid w:val="00CD7F57"/>
    <w:rsid w:val="00CE3FD0"/>
    <w:rsid w:val="00CE4C32"/>
    <w:rsid w:val="00CE5D12"/>
    <w:rsid w:val="00CE6629"/>
    <w:rsid w:val="00CE7994"/>
    <w:rsid w:val="00CF2656"/>
    <w:rsid w:val="00CF3DCD"/>
    <w:rsid w:val="00CF4EB0"/>
    <w:rsid w:val="00CF70FC"/>
    <w:rsid w:val="00D02AAD"/>
    <w:rsid w:val="00D0337B"/>
    <w:rsid w:val="00D046FE"/>
    <w:rsid w:val="00D051BD"/>
    <w:rsid w:val="00D079B2"/>
    <w:rsid w:val="00D10CB9"/>
    <w:rsid w:val="00D10D96"/>
    <w:rsid w:val="00D114E9"/>
    <w:rsid w:val="00D12A16"/>
    <w:rsid w:val="00D12E0B"/>
    <w:rsid w:val="00D1497B"/>
    <w:rsid w:val="00D14FAD"/>
    <w:rsid w:val="00D1536D"/>
    <w:rsid w:val="00D156BE"/>
    <w:rsid w:val="00D1655A"/>
    <w:rsid w:val="00D177E7"/>
    <w:rsid w:val="00D17BF7"/>
    <w:rsid w:val="00D2095D"/>
    <w:rsid w:val="00D23137"/>
    <w:rsid w:val="00D24D94"/>
    <w:rsid w:val="00D256A6"/>
    <w:rsid w:val="00D25D78"/>
    <w:rsid w:val="00D30BBB"/>
    <w:rsid w:val="00D314ED"/>
    <w:rsid w:val="00D31607"/>
    <w:rsid w:val="00D3170C"/>
    <w:rsid w:val="00D3196A"/>
    <w:rsid w:val="00D31AEB"/>
    <w:rsid w:val="00D323A7"/>
    <w:rsid w:val="00D338ED"/>
    <w:rsid w:val="00D33D7E"/>
    <w:rsid w:val="00D3444B"/>
    <w:rsid w:val="00D35734"/>
    <w:rsid w:val="00D35D1C"/>
    <w:rsid w:val="00D36641"/>
    <w:rsid w:val="00D379E9"/>
    <w:rsid w:val="00D40A30"/>
    <w:rsid w:val="00D40A95"/>
    <w:rsid w:val="00D429C6"/>
    <w:rsid w:val="00D44AEE"/>
    <w:rsid w:val="00D451D5"/>
    <w:rsid w:val="00D45A9A"/>
    <w:rsid w:val="00D47748"/>
    <w:rsid w:val="00D501C9"/>
    <w:rsid w:val="00D50D10"/>
    <w:rsid w:val="00D52D3A"/>
    <w:rsid w:val="00D53382"/>
    <w:rsid w:val="00D5372B"/>
    <w:rsid w:val="00D53FC4"/>
    <w:rsid w:val="00D54CC3"/>
    <w:rsid w:val="00D565F6"/>
    <w:rsid w:val="00D573CD"/>
    <w:rsid w:val="00D6041A"/>
    <w:rsid w:val="00D60B75"/>
    <w:rsid w:val="00D612DD"/>
    <w:rsid w:val="00D6130C"/>
    <w:rsid w:val="00D633EB"/>
    <w:rsid w:val="00D63465"/>
    <w:rsid w:val="00D63E53"/>
    <w:rsid w:val="00D64C10"/>
    <w:rsid w:val="00D65E74"/>
    <w:rsid w:val="00D660CE"/>
    <w:rsid w:val="00D667D3"/>
    <w:rsid w:val="00D67144"/>
    <w:rsid w:val="00D7084A"/>
    <w:rsid w:val="00D717BB"/>
    <w:rsid w:val="00D71D24"/>
    <w:rsid w:val="00D71FBF"/>
    <w:rsid w:val="00D720B4"/>
    <w:rsid w:val="00D7281D"/>
    <w:rsid w:val="00D762A3"/>
    <w:rsid w:val="00D76780"/>
    <w:rsid w:val="00D76D56"/>
    <w:rsid w:val="00D8017A"/>
    <w:rsid w:val="00D806B6"/>
    <w:rsid w:val="00D82ED6"/>
    <w:rsid w:val="00D82FF7"/>
    <w:rsid w:val="00D847FE"/>
    <w:rsid w:val="00D84FB8"/>
    <w:rsid w:val="00D8539C"/>
    <w:rsid w:val="00D85DD1"/>
    <w:rsid w:val="00D86436"/>
    <w:rsid w:val="00D870C9"/>
    <w:rsid w:val="00D906D2"/>
    <w:rsid w:val="00D91989"/>
    <w:rsid w:val="00D91EFB"/>
    <w:rsid w:val="00D964EA"/>
    <w:rsid w:val="00D966D0"/>
    <w:rsid w:val="00D96E4A"/>
    <w:rsid w:val="00D96E7A"/>
    <w:rsid w:val="00DA0C59"/>
    <w:rsid w:val="00DA1375"/>
    <w:rsid w:val="00DA1A60"/>
    <w:rsid w:val="00DA244B"/>
    <w:rsid w:val="00DA2F37"/>
    <w:rsid w:val="00DA34F9"/>
    <w:rsid w:val="00DA358F"/>
    <w:rsid w:val="00DA3991"/>
    <w:rsid w:val="00DA3F4F"/>
    <w:rsid w:val="00DA401F"/>
    <w:rsid w:val="00DA51F4"/>
    <w:rsid w:val="00DA5526"/>
    <w:rsid w:val="00DA58D1"/>
    <w:rsid w:val="00DB0FA1"/>
    <w:rsid w:val="00DB2770"/>
    <w:rsid w:val="00DB2D9B"/>
    <w:rsid w:val="00DB2DD8"/>
    <w:rsid w:val="00DB3908"/>
    <w:rsid w:val="00DB3C84"/>
    <w:rsid w:val="00DB4577"/>
    <w:rsid w:val="00DB4F7F"/>
    <w:rsid w:val="00DB56CA"/>
    <w:rsid w:val="00DB725A"/>
    <w:rsid w:val="00DB7E6C"/>
    <w:rsid w:val="00DB7F75"/>
    <w:rsid w:val="00DC1660"/>
    <w:rsid w:val="00DC25F2"/>
    <w:rsid w:val="00DC4B2A"/>
    <w:rsid w:val="00DC4DDD"/>
    <w:rsid w:val="00DC5679"/>
    <w:rsid w:val="00DC617B"/>
    <w:rsid w:val="00DD1886"/>
    <w:rsid w:val="00DD2721"/>
    <w:rsid w:val="00DD2A8F"/>
    <w:rsid w:val="00DD33C7"/>
    <w:rsid w:val="00DD3AC1"/>
    <w:rsid w:val="00DD4036"/>
    <w:rsid w:val="00DD512B"/>
    <w:rsid w:val="00DD5A29"/>
    <w:rsid w:val="00DD5D9D"/>
    <w:rsid w:val="00DD6666"/>
    <w:rsid w:val="00DD764F"/>
    <w:rsid w:val="00DE00A6"/>
    <w:rsid w:val="00DE0867"/>
    <w:rsid w:val="00DE1C4D"/>
    <w:rsid w:val="00DE3119"/>
    <w:rsid w:val="00DE35CB"/>
    <w:rsid w:val="00DE55CE"/>
    <w:rsid w:val="00DE67D2"/>
    <w:rsid w:val="00DF0BCD"/>
    <w:rsid w:val="00DF18C1"/>
    <w:rsid w:val="00DF21E9"/>
    <w:rsid w:val="00DF576C"/>
    <w:rsid w:val="00DF6359"/>
    <w:rsid w:val="00DF6738"/>
    <w:rsid w:val="00DF68C7"/>
    <w:rsid w:val="00DF7A4C"/>
    <w:rsid w:val="00E00F14"/>
    <w:rsid w:val="00E027EA"/>
    <w:rsid w:val="00E02BAF"/>
    <w:rsid w:val="00E06386"/>
    <w:rsid w:val="00E071D1"/>
    <w:rsid w:val="00E07A17"/>
    <w:rsid w:val="00E12CC0"/>
    <w:rsid w:val="00E132C7"/>
    <w:rsid w:val="00E134A3"/>
    <w:rsid w:val="00E1353B"/>
    <w:rsid w:val="00E13FCB"/>
    <w:rsid w:val="00E15A16"/>
    <w:rsid w:val="00E15ED4"/>
    <w:rsid w:val="00E170F0"/>
    <w:rsid w:val="00E17CA7"/>
    <w:rsid w:val="00E2098B"/>
    <w:rsid w:val="00E2146A"/>
    <w:rsid w:val="00E216C8"/>
    <w:rsid w:val="00E21892"/>
    <w:rsid w:val="00E22362"/>
    <w:rsid w:val="00E2237F"/>
    <w:rsid w:val="00E241D5"/>
    <w:rsid w:val="00E243F8"/>
    <w:rsid w:val="00E24EB4"/>
    <w:rsid w:val="00E26BD1"/>
    <w:rsid w:val="00E27D54"/>
    <w:rsid w:val="00E305BE"/>
    <w:rsid w:val="00E3167E"/>
    <w:rsid w:val="00E31A1C"/>
    <w:rsid w:val="00E31B66"/>
    <w:rsid w:val="00E320ED"/>
    <w:rsid w:val="00E336F2"/>
    <w:rsid w:val="00E33946"/>
    <w:rsid w:val="00E33AFB"/>
    <w:rsid w:val="00E34218"/>
    <w:rsid w:val="00E3425B"/>
    <w:rsid w:val="00E3449B"/>
    <w:rsid w:val="00E35751"/>
    <w:rsid w:val="00E37021"/>
    <w:rsid w:val="00E37B55"/>
    <w:rsid w:val="00E37E54"/>
    <w:rsid w:val="00E42467"/>
    <w:rsid w:val="00E43F1C"/>
    <w:rsid w:val="00E46282"/>
    <w:rsid w:val="00E46508"/>
    <w:rsid w:val="00E47629"/>
    <w:rsid w:val="00E4778D"/>
    <w:rsid w:val="00E47D27"/>
    <w:rsid w:val="00E51523"/>
    <w:rsid w:val="00E5216E"/>
    <w:rsid w:val="00E52931"/>
    <w:rsid w:val="00E52E44"/>
    <w:rsid w:val="00E52EC9"/>
    <w:rsid w:val="00E53FF4"/>
    <w:rsid w:val="00E54BAD"/>
    <w:rsid w:val="00E56EA7"/>
    <w:rsid w:val="00E606AE"/>
    <w:rsid w:val="00E62681"/>
    <w:rsid w:val="00E62CEA"/>
    <w:rsid w:val="00E67EC8"/>
    <w:rsid w:val="00E67F37"/>
    <w:rsid w:val="00E67F3A"/>
    <w:rsid w:val="00E7495B"/>
    <w:rsid w:val="00E75835"/>
    <w:rsid w:val="00E75911"/>
    <w:rsid w:val="00E82344"/>
    <w:rsid w:val="00E835B5"/>
    <w:rsid w:val="00E8449E"/>
    <w:rsid w:val="00E84BB4"/>
    <w:rsid w:val="00E84C82"/>
    <w:rsid w:val="00E84D64"/>
    <w:rsid w:val="00E84E5C"/>
    <w:rsid w:val="00E852DC"/>
    <w:rsid w:val="00E87408"/>
    <w:rsid w:val="00E87E02"/>
    <w:rsid w:val="00E90D4F"/>
    <w:rsid w:val="00E914C4"/>
    <w:rsid w:val="00E91E2C"/>
    <w:rsid w:val="00E934F5"/>
    <w:rsid w:val="00E93E7F"/>
    <w:rsid w:val="00E94A55"/>
    <w:rsid w:val="00E9535C"/>
    <w:rsid w:val="00E95480"/>
    <w:rsid w:val="00E96961"/>
    <w:rsid w:val="00E96CAD"/>
    <w:rsid w:val="00EA13EB"/>
    <w:rsid w:val="00EA156B"/>
    <w:rsid w:val="00EA4C8B"/>
    <w:rsid w:val="00EA661C"/>
    <w:rsid w:val="00EA72EC"/>
    <w:rsid w:val="00EB11CB"/>
    <w:rsid w:val="00EB1B0F"/>
    <w:rsid w:val="00EB1E71"/>
    <w:rsid w:val="00EB22AA"/>
    <w:rsid w:val="00EB275A"/>
    <w:rsid w:val="00EB2FC4"/>
    <w:rsid w:val="00EB3273"/>
    <w:rsid w:val="00EB52CF"/>
    <w:rsid w:val="00EB58AA"/>
    <w:rsid w:val="00EB70A3"/>
    <w:rsid w:val="00EB786A"/>
    <w:rsid w:val="00EB7FE5"/>
    <w:rsid w:val="00EC0C4B"/>
    <w:rsid w:val="00EC1578"/>
    <w:rsid w:val="00EC1796"/>
    <w:rsid w:val="00EC1C72"/>
    <w:rsid w:val="00EC31E7"/>
    <w:rsid w:val="00EC3CC9"/>
    <w:rsid w:val="00EC5289"/>
    <w:rsid w:val="00EC62F8"/>
    <w:rsid w:val="00EC6801"/>
    <w:rsid w:val="00EC680A"/>
    <w:rsid w:val="00EC6AEA"/>
    <w:rsid w:val="00EC7463"/>
    <w:rsid w:val="00EC74FD"/>
    <w:rsid w:val="00EC79A6"/>
    <w:rsid w:val="00ED08A3"/>
    <w:rsid w:val="00ED1F91"/>
    <w:rsid w:val="00ED22EC"/>
    <w:rsid w:val="00ED2F96"/>
    <w:rsid w:val="00ED67E5"/>
    <w:rsid w:val="00ED699B"/>
    <w:rsid w:val="00EE0D43"/>
    <w:rsid w:val="00EE1470"/>
    <w:rsid w:val="00EE18D8"/>
    <w:rsid w:val="00EE2A64"/>
    <w:rsid w:val="00EE2B57"/>
    <w:rsid w:val="00EE2BED"/>
    <w:rsid w:val="00EE2F82"/>
    <w:rsid w:val="00EE374B"/>
    <w:rsid w:val="00EE49F4"/>
    <w:rsid w:val="00EE501F"/>
    <w:rsid w:val="00EE7698"/>
    <w:rsid w:val="00EE789D"/>
    <w:rsid w:val="00EE7FB1"/>
    <w:rsid w:val="00EF07D9"/>
    <w:rsid w:val="00EF19A0"/>
    <w:rsid w:val="00EF241C"/>
    <w:rsid w:val="00EF26DF"/>
    <w:rsid w:val="00EF3EA7"/>
    <w:rsid w:val="00EF4F99"/>
    <w:rsid w:val="00EF5A06"/>
    <w:rsid w:val="00EF6AB1"/>
    <w:rsid w:val="00EF754F"/>
    <w:rsid w:val="00EF7F77"/>
    <w:rsid w:val="00F006ED"/>
    <w:rsid w:val="00F015C7"/>
    <w:rsid w:val="00F01B78"/>
    <w:rsid w:val="00F022E1"/>
    <w:rsid w:val="00F037DB"/>
    <w:rsid w:val="00F03CBF"/>
    <w:rsid w:val="00F0407F"/>
    <w:rsid w:val="00F0461A"/>
    <w:rsid w:val="00F06792"/>
    <w:rsid w:val="00F114E9"/>
    <w:rsid w:val="00F11A38"/>
    <w:rsid w:val="00F11BB5"/>
    <w:rsid w:val="00F1325C"/>
    <w:rsid w:val="00F13F2E"/>
    <w:rsid w:val="00F1417B"/>
    <w:rsid w:val="00F14A50"/>
    <w:rsid w:val="00F153C7"/>
    <w:rsid w:val="00F269E8"/>
    <w:rsid w:val="00F27826"/>
    <w:rsid w:val="00F309ED"/>
    <w:rsid w:val="00F30E5F"/>
    <w:rsid w:val="00F30FE2"/>
    <w:rsid w:val="00F31087"/>
    <w:rsid w:val="00F32A51"/>
    <w:rsid w:val="00F32D2F"/>
    <w:rsid w:val="00F33E88"/>
    <w:rsid w:val="00F3476D"/>
    <w:rsid w:val="00F34B99"/>
    <w:rsid w:val="00F34DD1"/>
    <w:rsid w:val="00F3520D"/>
    <w:rsid w:val="00F35492"/>
    <w:rsid w:val="00F36961"/>
    <w:rsid w:val="00F37632"/>
    <w:rsid w:val="00F412B9"/>
    <w:rsid w:val="00F41BB9"/>
    <w:rsid w:val="00F43406"/>
    <w:rsid w:val="00F4589E"/>
    <w:rsid w:val="00F46BBA"/>
    <w:rsid w:val="00F50FB0"/>
    <w:rsid w:val="00F51A3E"/>
    <w:rsid w:val="00F52DAB"/>
    <w:rsid w:val="00F543F0"/>
    <w:rsid w:val="00F555FD"/>
    <w:rsid w:val="00F562F8"/>
    <w:rsid w:val="00F56ED4"/>
    <w:rsid w:val="00F60751"/>
    <w:rsid w:val="00F61204"/>
    <w:rsid w:val="00F617C1"/>
    <w:rsid w:val="00F61975"/>
    <w:rsid w:val="00F61BCB"/>
    <w:rsid w:val="00F65E4D"/>
    <w:rsid w:val="00F666F3"/>
    <w:rsid w:val="00F67187"/>
    <w:rsid w:val="00F67303"/>
    <w:rsid w:val="00F67456"/>
    <w:rsid w:val="00F67669"/>
    <w:rsid w:val="00F677D5"/>
    <w:rsid w:val="00F67862"/>
    <w:rsid w:val="00F67DE3"/>
    <w:rsid w:val="00F7196C"/>
    <w:rsid w:val="00F725F3"/>
    <w:rsid w:val="00F72766"/>
    <w:rsid w:val="00F728CF"/>
    <w:rsid w:val="00F7405A"/>
    <w:rsid w:val="00F75066"/>
    <w:rsid w:val="00F7620F"/>
    <w:rsid w:val="00F76FF8"/>
    <w:rsid w:val="00F8123F"/>
    <w:rsid w:val="00F81619"/>
    <w:rsid w:val="00F81D29"/>
    <w:rsid w:val="00F82B59"/>
    <w:rsid w:val="00F83317"/>
    <w:rsid w:val="00F83410"/>
    <w:rsid w:val="00F838F7"/>
    <w:rsid w:val="00F839A3"/>
    <w:rsid w:val="00F85C73"/>
    <w:rsid w:val="00F86F5C"/>
    <w:rsid w:val="00F87F63"/>
    <w:rsid w:val="00F87FBC"/>
    <w:rsid w:val="00F91C4D"/>
    <w:rsid w:val="00F925B3"/>
    <w:rsid w:val="00F92FD9"/>
    <w:rsid w:val="00F93D1C"/>
    <w:rsid w:val="00F9431D"/>
    <w:rsid w:val="00F95068"/>
    <w:rsid w:val="00F95A74"/>
    <w:rsid w:val="00F97BFE"/>
    <w:rsid w:val="00F97CB5"/>
    <w:rsid w:val="00FA163A"/>
    <w:rsid w:val="00FA3BD9"/>
    <w:rsid w:val="00FA3F27"/>
    <w:rsid w:val="00FA42AB"/>
    <w:rsid w:val="00FA5821"/>
    <w:rsid w:val="00FA6171"/>
    <w:rsid w:val="00FA6684"/>
    <w:rsid w:val="00FA6740"/>
    <w:rsid w:val="00FA6B53"/>
    <w:rsid w:val="00FA6EB7"/>
    <w:rsid w:val="00FA731E"/>
    <w:rsid w:val="00FA790D"/>
    <w:rsid w:val="00FB0605"/>
    <w:rsid w:val="00FB1A51"/>
    <w:rsid w:val="00FB2B38"/>
    <w:rsid w:val="00FB3387"/>
    <w:rsid w:val="00FB3AC1"/>
    <w:rsid w:val="00FB51A7"/>
    <w:rsid w:val="00FB5948"/>
    <w:rsid w:val="00FB6572"/>
    <w:rsid w:val="00FC07CC"/>
    <w:rsid w:val="00FC08CA"/>
    <w:rsid w:val="00FC19DC"/>
    <w:rsid w:val="00FC2028"/>
    <w:rsid w:val="00FC2A8E"/>
    <w:rsid w:val="00FC3FDC"/>
    <w:rsid w:val="00FC4E9C"/>
    <w:rsid w:val="00FC54BA"/>
    <w:rsid w:val="00FC6358"/>
    <w:rsid w:val="00FD0AD3"/>
    <w:rsid w:val="00FD0BD5"/>
    <w:rsid w:val="00FD114D"/>
    <w:rsid w:val="00FD2AE5"/>
    <w:rsid w:val="00FD320D"/>
    <w:rsid w:val="00FD4C2D"/>
    <w:rsid w:val="00FD60C0"/>
    <w:rsid w:val="00FE0053"/>
    <w:rsid w:val="00FE0331"/>
    <w:rsid w:val="00FE1AF2"/>
    <w:rsid w:val="00FE23DE"/>
    <w:rsid w:val="00FE2997"/>
    <w:rsid w:val="00FE3FAA"/>
    <w:rsid w:val="00FE5649"/>
    <w:rsid w:val="00FE6AB6"/>
    <w:rsid w:val="00FE6F0E"/>
    <w:rsid w:val="00FF0702"/>
    <w:rsid w:val="00FF0D05"/>
    <w:rsid w:val="00FF22B0"/>
    <w:rsid w:val="00FF464D"/>
    <w:rsid w:val="00FF4CB2"/>
    <w:rsid w:val="00FF5DAB"/>
    <w:rsid w:val="00FF6DCD"/>
    <w:rsid w:val="00FF70C1"/>
    <w:rsid w:val="00FF75AC"/>
    <w:rsid w:val="01E3718B"/>
    <w:rsid w:val="02D93931"/>
    <w:rsid w:val="06CD3785"/>
    <w:rsid w:val="0AD41064"/>
    <w:rsid w:val="1499035F"/>
    <w:rsid w:val="172826D4"/>
    <w:rsid w:val="1C031D21"/>
    <w:rsid w:val="1F3F2E83"/>
    <w:rsid w:val="21145639"/>
    <w:rsid w:val="265B784A"/>
    <w:rsid w:val="2D5E2683"/>
    <w:rsid w:val="2EF85E1E"/>
    <w:rsid w:val="30F36E3B"/>
    <w:rsid w:val="3B533E96"/>
    <w:rsid w:val="473C671E"/>
    <w:rsid w:val="4CB4755F"/>
    <w:rsid w:val="547F1FC8"/>
    <w:rsid w:val="58F06F37"/>
    <w:rsid w:val="5D331AE8"/>
    <w:rsid w:val="60B4390F"/>
    <w:rsid w:val="686E216B"/>
    <w:rsid w:val="70065659"/>
    <w:rsid w:val="72964259"/>
    <w:rsid w:val="793A628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iPriority="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name="endnote reference"/>
    <w:lsdException w:qFormat="1" w:unhideWhenUsed="0"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2">
    <w:name w:val="toc 7"/>
    <w:basedOn w:val="1"/>
    <w:next w:val="1"/>
    <w:semiHidden/>
    <w:qFormat/>
    <w:uiPriority w:val="0"/>
    <w:pPr>
      <w:tabs>
        <w:tab w:val="right" w:leader="dot" w:pos="9241"/>
      </w:tabs>
      <w:ind w:firstLine="505" w:firstLineChars="500"/>
      <w:jc w:val="left"/>
    </w:pPr>
    <w:rPr>
      <w:rFonts w:ascii="宋体"/>
      <w:szCs w:val="21"/>
    </w:rPr>
  </w:style>
  <w:style w:type="paragraph" w:styleId="3">
    <w:name w:val="index 8"/>
    <w:basedOn w:val="1"/>
    <w:next w:val="1"/>
    <w:qFormat/>
    <w:uiPriority w:val="0"/>
    <w:pPr>
      <w:ind w:left="1680" w:hanging="210"/>
      <w:jc w:val="left"/>
    </w:pPr>
    <w:rPr>
      <w:rFonts w:ascii="Calibri" w:hAnsi="Calibri"/>
      <w:sz w:val="20"/>
      <w:szCs w:val="20"/>
    </w:rPr>
  </w:style>
  <w:style w:type="paragraph" w:styleId="4">
    <w:name w:val="caption"/>
    <w:basedOn w:val="1"/>
    <w:next w:val="1"/>
    <w:qFormat/>
    <w:uiPriority w:val="0"/>
    <w:pPr>
      <w:spacing w:before="152" w:after="160"/>
    </w:pPr>
    <w:rPr>
      <w:rFonts w:ascii="Arial" w:hAnsi="Arial" w:eastAsia="黑体" w:cs="Arial"/>
      <w:sz w:val="20"/>
      <w:szCs w:val="20"/>
    </w:rPr>
  </w:style>
  <w:style w:type="paragraph" w:styleId="5">
    <w:name w:val="index 5"/>
    <w:basedOn w:val="1"/>
    <w:next w:val="1"/>
    <w:qFormat/>
    <w:uiPriority w:val="0"/>
    <w:pPr>
      <w:ind w:left="1050" w:hanging="210"/>
      <w:jc w:val="left"/>
    </w:pPr>
    <w:rPr>
      <w:rFonts w:ascii="Calibri" w:hAnsi="Calibri"/>
      <w:sz w:val="20"/>
      <w:szCs w:val="20"/>
    </w:rPr>
  </w:style>
  <w:style w:type="paragraph" w:styleId="6">
    <w:name w:val="Document Map"/>
    <w:basedOn w:val="1"/>
    <w:semiHidden/>
    <w:qFormat/>
    <w:uiPriority w:val="0"/>
    <w:pPr>
      <w:shd w:val="clear" w:color="auto" w:fill="000080"/>
    </w:pPr>
  </w:style>
  <w:style w:type="paragraph" w:styleId="7">
    <w:name w:val="annotation text"/>
    <w:basedOn w:val="1"/>
    <w:link w:val="146"/>
    <w:qFormat/>
    <w:uiPriority w:val="0"/>
    <w:pPr>
      <w:jc w:val="left"/>
    </w:pPr>
  </w:style>
  <w:style w:type="paragraph" w:styleId="8">
    <w:name w:val="index 6"/>
    <w:basedOn w:val="1"/>
    <w:next w:val="1"/>
    <w:qFormat/>
    <w:uiPriority w:val="0"/>
    <w:pPr>
      <w:ind w:left="1260" w:hanging="210"/>
      <w:jc w:val="left"/>
    </w:pPr>
    <w:rPr>
      <w:rFonts w:ascii="Calibri" w:hAnsi="Calibri"/>
      <w:sz w:val="20"/>
      <w:szCs w:val="20"/>
    </w:rPr>
  </w:style>
  <w:style w:type="paragraph" w:styleId="9">
    <w:name w:val="index 4"/>
    <w:basedOn w:val="1"/>
    <w:next w:val="1"/>
    <w:qFormat/>
    <w:uiPriority w:val="0"/>
    <w:pPr>
      <w:ind w:left="840" w:hanging="210"/>
      <w:jc w:val="left"/>
    </w:pPr>
    <w:rPr>
      <w:rFonts w:ascii="Calibri" w:hAnsi="Calibri"/>
      <w:sz w:val="20"/>
      <w:szCs w:val="20"/>
    </w:rPr>
  </w:style>
  <w:style w:type="paragraph" w:styleId="10">
    <w:name w:val="toc 5"/>
    <w:basedOn w:val="1"/>
    <w:next w:val="1"/>
    <w:semiHidden/>
    <w:qFormat/>
    <w:uiPriority w:val="0"/>
    <w:pPr>
      <w:tabs>
        <w:tab w:val="right" w:leader="dot" w:pos="9241"/>
      </w:tabs>
      <w:ind w:firstLine="300" w:firstLineChars="300"/>
      <w:jc w:val="left"/>
    </w:pPr>
    <w:rPr>
      <w:rFonts w:ascii="宋体"/>
      <w:szCs w:val="21"/>
    </w:rPr>
  </w:style>
  <w:style w:type="paragraph" w:styleId="11">
    <w:name w:val="toc 3"/>
    <w:basedOn w:val="1"/>
    <w:next w:val="1"/>
    <w:semiHidden/>
    <w:qFormat/>
    <w:uiPriority w:val="0"/>
    <w:pPr>
      <w:tabs>
        <w:tab w:val="right" w:leader="dot" w:pos="9241"/>
      </w:tabs>
      <w:ind w:firstLine="102" w:firstLineChars="100"/>
      <w:jc w:val="left"/>
    </w:pPr>
    <w:rPr>
      <w:rFonts w:ascii="宋体"/>
      <w:szCs w:val="21"/>
    </w:rPr>
  </w:style>
  <w:style w:type="paragraph" w:styleId="12">
    <w:name w:val="Plain Text"/>
    <w:basedOn w:val="1"/>
    <w:link w:val="151"/>
    <w:qFormat/>
    <w:uiPriority w:val="0"/>
    <w:rPr>
      <w:rFonts w:ascii="宋体" w:hAnsi="Courier New"/>
      <w:szCs w:val="20"/>
    </w:rPr>
  </w:style>
  <w:style w:type="paragraph" w:styleId="13">
    <w:name w:val="toc 8"/>
    <w:basedOn w:val="1"/>
    <w:next w:val="1"/>
    <w:semiHidden/>
    <w:qFormat/>
    <w:uiPriority w:val="0"/>
    <w:pPr>
      <w:tabs>
        <w:tab w:val="right" w:leader="dot" w:pos="9241"/>
      </w:tabs>
      <w:ind w:firstLine="607" w:firstLineChars="600"/>
      <w:jc w:val="left"/>
    </w:pPr>
    <w:rPr>
      <w:rFonts w:ascii="宋体"/>
      <w:szCs w:val="21"/>
    </w:rPr>
  </w:style>
  <w:style w:type="paragraph" w:styleId="14">
    <w:name w:val="index 3"/>
    <w:basedOn w:val="1"/>
    <w:next w:val="1"/>
    <w:qFormat/>
    <w:uiPriority w:val="0"/>
    <w:pPr>
      <w:ind w:left="630" w:hanging="210"/>
      <w:jc w:val="left"/>
    </w:pPr>
    <w:rPr>
      <w:rFonts w:ascii="Calibri" w:hAnsi="Calibri"/>
      <w:sz w:val="20"/>
      <w:szCs w:val="20"/>
    </w:rPr>
  </w:style>
  <w:style w:type="paragraph" w:styleId="15">
    <w:name w:val="Date"/>
    <w:basedOn w:val="1"/>
    <w:next w:val="1"/>
    <w:link w:val="143"/>
    <w:qFormat/>
    <w:uiPriority w:val="0"/>
    <w:pPr>
      <w:ind w:left="100" w:leftChars="2500"/>
    </w:pPr>
  </w:style>
  <w:style w:type="paragraph" w:styleId="16">
    <w:name w:val="endnote text"/>
    <w:basedOn w:val="1"/>
    <w:semiHidden/>
    <w:qFormat/>
    <w:uiPriority w:val="0"/>
    <w:pPr>
      <w:snapToGrid w:val="0"/>
      <w:jc w:val="left"/>
    </w:pPr>
  </w:style>
  <w:style w:type="paragraph" w:styleId="17">
    <w:name w:val="Balloon Text"/>
    <w:basedOn w:val="1"/>
    <w:semiHidden/>
    <w:qFormat/>
    <w:uiPriority w:val="0"/>
    <w:rPr>
      <w:sz w:val="18"/>
      <w:szCs w:val="18"/>
    </w:rPr>
  </w:style>
  <w:style w:type="paragraph" w:styleId="18">
    <w:name w:val="footer"/>
    <w:basedOn w:val="1"/>
    <w:link w:val="159"/>
    <w:qFormat/>
    <w:uiPriority w:val="99"/>
    <w:pPr>
      <w:snapToGrid w:val="0"/>
      <w:ind w:right="210" w:rightChars="100"/>
      <w:jc w:val="right"/>
    </w:pPr>
    <w:rPr>
      <w:sz w:val="18"/>
      <w:szCs w:val="18"/>
    </w:rPr>
  </w:style>
  <w:style w:type="paragraph" w:styleId="19">
    <w:name w:val="header"/>
    <w:basedOn w:val="1"/>
    <w:link w:val="148"/>
    <w:qFormat/>
    <w:uiPriority w:val="0"/>
    <w:pPr>
      <w:snapToGrid w:val="0"/>
      <w:jc w:val="left"/>
    </w:pPr>
    <w:rPr>
      <w:sz w:val="18"/>
      <w:szCs w:val="18"/>
    </w:rPr>
  </w:style>
  <w:style w:type="paragraph" w:styleId="20">
    <w:name w:val="toc 1"/>
    <w:basedOn w:val="1"/>
    <w:next w:val="1"/>
    <w:qFormat/>
    <w:uiPriority w:val="39"/>
    <w:pPr>
      <w:tabs>
        <w:tab w:val="right" w:leader="dot" w:pos="9241"/>
      </w:tabs>
      <w:spacing w:beforeLines="25" w:afterLines="25"/>
      <w:jc w:val="left"/>
    </w:pPr>
    <w:rPr>
      <w:rFonts w:ascii="宋体"/>
      <w:szCs w:val="21"/>
    </w:rPr>
  </w:style>
  <w:style w:type="paragraph" w:styleId="21">
    <w:name w:val="toc 4"/>
    <w:basedOn w:val="1"/>
    <w:next w:val="1"/>
    <w:semiHidden/>
    <w:qFormat/>
    <w:uiPriority w:val="0"/>
    <w:pPr>
      <w:tabs>
        <w:tab w:val="right" w:leader="dot" w:pos="9241"/>
      </w:tabs>
      <w:ind w:firstLine="198" w:firstLineChars="200"/>
      <w:jc w:val="left"/>
    </w:pPr>
    <w:rPr>
      <w:rFonts w:ascii="宋体"/>
      <w:szCs w:val="21"/>
    </w:rPr>
  </w:style>
  <w:style w:type="paragraph" w:styleId="22">
    <w:name w:val="index heading"/>
    <w:basedOn w:val="1"/>
    <w:next w:val="23"/>
    <w:qFormat/>
    <w:uiPriority w:val="0"/>
    <w:pPr>
      <w:spacing w:before="120" w:after="120"/>
      <w:jc w:val="center"/>
    </w:pPr>
    <w:rPr>
      <w:rFonts w:ascii="Calibri" w:hAnsi="Calibri"/>
      <w:b/>
      <w:bCs/>
      <w:iCs/>
      <w:szCs w:val="20"/>
    </w:rPr>
  </w:style>
  <w:style w:type="paragraph" w:styleId="23">
    <w:name w:val="index 1"/>
    <w:basedOn w:val="1"/>
    <w:next w:val="24"/>
    <w:qFormat/>
    <w:uiPriority w:val="0"/>
    <w:pPr>
      <w:tabs>
        <w:tab w:val="right" w:leader="dot" w:pos="9299"/>
      </w:tabs>
      <w:jc w:val="left"/>
    </w:pPr>
    <w:rPr>
      <w:rFonts w:ascii="宋体"/>
      <w:szCs w:val="21"/>
    </w:rPr>
  </w:style>
  <w:style w:type="paragraph" w:customStyle="1" w:styleId="24">
    <w:name w:val="段"/>
    <w:link w:val="45"/>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5">
    <w:name w:val="footnote text"/>
    <w:basedOn w:val="1"/>
    <w:qFormat/>
    <w:uiPriority w:val="0"/>
    <w:pPr>
      <w:numPr>
        <w:ilvl w:val="0"/>
        <w:numId w:val="1"/>
      </w:numPr>
      <w:snapToGrid w:val="0"/>
      <w:jc w:val="left"/>
    </w:pPr>
    <w:rPr>
      <w:rFonts w:ascii="宋体"/>
      <w:sz w:val="18"/>
      <w:szCs w:val="18"/>
    </w:rPr>
  </w:style>
  <w:style w:type="paragraph" w:styleId="26">
    <w:name w:val="toc 6"/>
    <w:basedOn w:val="1"/>
    <w:next w:val="1"/>
    <w:semiHidden/>
    <w:qFormat/>
    <w:uiPriority w:val="0"/>
    <w:pPr>
      <w:tabs>
        <w:tab w:val="right" w:leader="dot" w:pos="9241"/>
      </w:tabs>
      <w:ind w:firstLine="403" w:firstLineChars="400"/>
      <w:jc w:val="left"/>
    </w:pPr>
    <w:rPr>
      <w:rFonts w:ascii="宋体"/>
      <w:szCs w:val="21"/>
    </w:rPr>
  </w:style>
  <w:style w:type="paragraph" w:styleId="27">
    <w:name w:val="index 7"/>
    <w:basedOn w:val="1"/>
    <w:next w:val="1"/>
    <w:qFormat/>
    <w:uiPriority w:val="0"/>
    <w:pPr>
      <w:ind w:left="1470" w:hanging="210"/>
      <w:jc w:val="left"/>
    </w:pPr>
    <w:rPr>
      <w:rFonts w:ascii="Calibri" w:hAnsi="Calibri"/>
      <w:sz w:val="20"/>
      <w:szCs w:val="20"/>
    </w:rPr>
  </w:style>
  <w:style w:type="paragraph" w:styleId="28">
    <w:name w:val="index 9"/>
    <w:basedOn w:val="1"/>
    <w:next w:val="1"/>
    <w:qFormat/>
    <w:uiPriority w:val="0"/>
    <w:pPr>
      <w:ind w:left="1890" w:hanging="210"/>
      <w:jc w:val="left"/>
    </w:pPr>
    <w:rPr>
      <w:rFonts w:ascii="Calibri" w:hAnsi="Calibri"/>
      <w:sz w:val="20"/>
      <w:szCs w:val="20"/>
    </w:rPr>
  </w:style>
  <w:style w:type="paragraph" w:styleId="29">
    <w:name w:val="toc 2"/>
    <w:basedOn w:val="1"/>
    <w:next w:val="1"/>
    <w:semiHidden/>
    <w:qFormat/>
    <w:uiPriority w:val="0"/>
    <w:pPr>
      <w:tabs>
        <w:tab w:val="right" w:leader="dot" w:pos="9241"/>
      </w:tabs>
    </w:pPr>
    <w:rPr>
      <w:rFonts w:ascii="宋体"/>
      <w:szCs w:val="21"/>
    </w:rPr>
  </w:style>
  <w:style w:type="paragraph" w:styleId="30">
    <w:name w:val="toc 9"/>
    <w:basedOn w:val="1"/>
    <w:next w:val="1"/>
    <w:semiHidden/>
    <w:qFormat/>
    <w:uiPriority w:val="0"/>
    <w:pPr>
      <w:ind w:left="1470"/>
      <w:jc w:val="left"/>
    </w:pPr>
    <w:rPr>
      <w:sz w:val="20"/>
      <w:szCs w:val="20"/>
    </w:rPr>
  </w:style>
  <w:style w:type="paragraph" w:styleId="31">
    <w:name w:val="Normal (Web)"/>
    <w:basedOn w:val="1"/>
    <w:unhideWhenUsed/>
    <w:qFormat/>
    <w:uiPriority w:val="0"/>
    <w:pPr>
      <w:widowControl/>
      <w:spacing w:before="100" w:beforeAutospacing="1" w:after="100" w:afterAutospacing="1"/>
      <w:jc w:val="left"/>
    </w:pPr>
    <w:rPr>
      <w:rFonts w:ascii="宋体" w:hAnsi="宋体" w:cs="宋体"/>
      <w:color w:val="000000"/>
      <w:kern w:val="0"/>
      <w:sz w:val="24"/>
    </w:rPr>
  </w:style>
  <w:style w:type="paragraph" w:styleId="32">
    <w:name w:val="index 2"/>
    <w:basedOn w:val="1"/>
    <w:next w:val="1"/>
    <w:qFormat/>
    <w:uiPriority w:val="0"/>
    <w:pPr>
      <w:ind w:left="420" w:hanging="210"/>
      <w:jc w:val="left"/>
    </w:pPr>
    <w:rPr>
      <w:rFonts w:ascii="Calibri" w:hAnsi="Calibri"/>
      <w:sz w:val="20"/>
      <w:szCs w:val="20"/>
    </w:rPr>
  </w:style>
  <w:style w:type="paragraph" w:styleId="33">
    <w:name w:val="annotation subject"/>
    <w:basedOn w:val="7"/>
    <w:next w:val="7"/>
    <w:link w:val="147"/>
    <w:qFormat/>
    <w:uiPriority w:val="0"/>
    <w:rPr>
      <w:b/>
      <w:bCs/>
    </w:rPr>
  </w:style>
  <w:style w:type="table" w:styleId="35">
    <w:name w:val="Table Grid"/>
    <w:basedOn w:val="34"/>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7">
    <w:name w:val="Strong"/>
    <w:basedOn w:val="36"/>
    <w:qFormat/>
    <w:uiPriority w:val="0"/>
    <w:rPr>
      <w:b/>
    </w:rPr>
  </w:style>
  <w:style w:type="character" w:styleId="38">
    <w:name w:val="endnote reference"/>
    <w:semiHidden/>
    <w:qFormat/>
    <w:uiPriority w:val="0"/>
    <w:rPr>
      <w:vertAlign w:val="superscript"/>
    </w:rPr>
  </w:style>
  <w:style w:type="character" w:styleId="39">
    <w:name w:val="page number"/>
    <w:qFormat/>
    <w:uiPriority w:val="0"/>
    <w:rPr>
      <w:rFonts w:ascii="Times New Roman" w:hAnsi="Times New Roman" w:eastAsia="宋体"/>
      <w:sz w:val="18"/>
    </w:rPr>
  </w:style>
  <w:style w:type="character" w:styleId="40">
    <w:name w:val="FollowedHyperlink"/>
    <w:qFormat/>
    <w:uiPriority w:val="0"/>
    <w:rPr>
      <w:color w:val="800080"/>
      <w:u w:val="single"/>
    </w:rPr>
  </w:style>
  <w:style w:type="character" w:styleId="41">
    <w:name w:val="Emphasis"/>
    <w:basedOn w:val="36"/>
    <w:qFormat/>
    <w:uiPriority w:val="0"/>
    <w:rPr>
      <w:i/>
      <w:iCs/>
    </w:rPr>
  </w:style>
  <w:style w:type="character" w:styleId="42">
    <w:name w:val="Hyperlink"/>
    <w:qFormat/>
    <w:uiPriority w:val="99"/>
    <w:rPr>
      <w:color w:val="0000FF"/>
      <w:spacing w:val="0"/>
      <w:w w:val="100"/>
      <w:szCs w:val="21"/>
      <w:u w:val="single"/>
    </w:rPr>
  </w:style>
  <w:style w:type="character" w:styleId="43">
    <w:name w:val="annotation reference"/>
    <w:qFormat/>
    <w:uiPriority w:val="0"/>
    <w:rPr>
      <w:sz w:val="21"/>
      <w:szCs w:val="21"/>
    </w:rPr>
  </w:style>
  <w:style w:type="character" w:styleId="44">
    <w:name w:val="footnote reference"/>
    <w:semiHidden/>
    <w:qFormat/>
    <w:uiPriority w:val="0"/>
    <w:rPr>
      <w:vertAlign w:val="superscript"/>
    </w:rPr>
  </w:style>
  <w:style w:type="character" w:customStyle="1" w:styleId="45">
    <w:name w:val="段 Char"/>
    <w:link w:val="24"/>
    <w:qFormat/>
    <w:uiPriority w:val="0"/>
    <w:rPr>
      <w:rFonts w:ascii="宋体"/>
      <w:sz w:val="21"/>
      <w:lang w:val="en-US" w:eastAsia="zh-CN" w:bidi="ar-SA"/>
    </w:rPr>
  </w:style>
  <w:style w:type="paragraph" w:customStyle="1" w:styleId="46">
    <w:name w:val="一级条标题"/>
    <w:next w:val="24"/>
    <w:link w:val="144"/>
    <w:qFormat/>
    <w:uiPriority w:val="0"/>
    <w:pPr>
      <w:spacing w:beforeLines="50" w:afterLines="50"/>
      <w:outlineLvl w:val="2"/>
    </w:pPr>
    <w:rPr>
      <w:rFonts w:ascii="黑体" w:hAnsi="Times New Roman" w:eastAsia="黑体" w:cs="Times New Roman"/>
      <w:sz w:val="21"/>
      <w:szCs w:val="21"/>
      <w:lang w:val="en-US" w:eastAsia="zh-CN" w:bidi="ar-SA"/>
    </w:rPr>
  </w:style>
  <w:style w:type="paragraph" w:customStyle="1" w:styleId="47">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48">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49">
    <w:name w:val="章标题"/>
    <w:next w:val="24"/>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50">
    <w:name w:val="二级条标题"/>
    <w:basedOn w:val="46"/>
    <w:next w:val="24"/>
    <w:link w:val="145"/>
    <w:qFormat/>
    <w:uiPriority w:val="0"/>
    <w:pPr>
      <w:numPr>
        <w:ilvl w:val="2"/>
        <w:numId w:val="2"/>
      </w:numPr>
      <w:spacing w:before="50" w:after="50"/>
      <w:outlineLvl w:val="3"/>
    </w:pPr>
  </w:style>
  <w:style w:type="paragraph" w:customStyle="1" w:styleId="51">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52">
    <w:name w:val="列项——（一级）"/>
    <w:qFormat/>
    <w:uiPriority w:val="0"/>
    <w:pPr>
      <w:widowControl w:val="0"/>
      <w:numPr>
        <w:ilvl w:val="0"/>
        <w:numId w:val="3"/>
      </w:numPr>
      <w:jc w:val="both"/>
    </w:pPr>
    <w:rPr>
      <w:rFonts w:ascii="宋体" w:hAnsi="Times New Roman" w:eastAsia="宋体" w:cs="Times New Roman"/>
      <w:sz w:val="21"/>
      <w:lang w:val="en-US" w:eastAsia="zh-CN" w:bidi="ar-SA"/>
    </w:rPr>
  </w:style>
  <w:style w:type="paragraph" w:customStyle="1" w:styleId="53">
    <w:name w:val="列项●（二级）"/>
    <w:qFormat/>
    <w:uiPriority w:val="0"/>
    <w:pPr>
      <w:numPr>
        <w:ilvl w:val="1"/>
        <w:numId w:val="4"/>
      </w:numPr>
      <w:tabs>
        <w:tab w:val="left" w:pos="840"/>
      </w:tabs>
      <w:jc w:val="both"/>
    </w:pPr>
    <w:rPr>
      <w:rFonts w:ascii="宋体" w:hAnsi="Times New Roman" w:eastAsia="宋体" w:cs="Times New Roman"/>
      <w:sz w:val="21"/>
      <w:lang w:val="en-US" w:eastAsia="zh-CN" w:bidi="ar-SA"/>
    </w:rPr>
  </w:style>
  <w:style w:type="paragraph" w:customStyle="1" w:styleId="54">
    <w:name w:val="目次、标准名称标题"/>
    <w:basedOn w:val="1"/>
    <w:next w:val="24"/>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55">
    <w:name w:val="三级条标题"/>
    <w:basedOn w:val="50"/>
    <w:next w:val="24"/>
    <w:qFormat/>
    <w:uiPriority w:val="0"/>
    <w:pPr>
      <w:numPr>
        <w:ilvl w:val="3"/>
      </w:numPr>
      <w:outlineLvl w:val="4"/>
    </w:pPr>
  </w:style>
  <w:style w:type="paragraph" w:customStyle="1" w:styleId="56">
    <w:name w:val="示例"/>
    <w:next w:val="57"/>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57">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58">
    <w:name w:val="数字编号列项（二级）"/>
    <w:qFormat/>
    <w:uiPriority w:val="0"/>
    <w:pPr>
      <w:numPr>
        <w:ilvl w:val="1"/>
        <w:numId w:val="5"/>
      </w:numPr>
      <w:jc w:val="both"/>
    </w:pPr>
    <w:rPr>
      <w:rFonts w:ascii="宋体" w:hAnsi="Times New Roman" w:eastAsia="宋体" w:cs="Times New Roman"/>
      <w:sz w:val="21"/>
      <w:lang w:val="en-US" w:eastAsia="zh-CN" w:bidi="ar-SA"/>
    </w:rPr>
  </w:style>
  <w:style w:type="paragraph" w:customStyle="1" w:styleId="59">
    <w:name w:val="四级条标题"/>
    <w:basedOn w:val="55"/>
    <w:next w:val="24"/>
    <w:qFormat/>
    <w:uiPriority w:val="0"/>
    <w:pPr>
      <w:numPr>
        <w:ilvl w:val="4"/>
      </w:numPr>
      <w:outlineLvl w:val="5"/>
    </w:pPr>
  </w:style>
  <w:style w:type="paragraph" w:customStyle="1" w:styleId="60">
    <w:name w:val="五级条标题"/>
    <w:basedOn w:val="59"/>
    <w:next w:val="24"/>
    <w:qFormat/>
    <w:uiPriority w:val="0"/>
    <w:pPr>
      <w:numPr>
        <w:ilvl w:val="5"/>
      </w:numPr>
      <w:outlineLvl w:val="6"/>
    </w:pPr>
  </w:style>
  <w:style w:type="paragraph" w:customStyle="1" w:styleId="61">
    <w:name w:val="注："/>
    <w:next w:val="24"/>
    <w:qFormat/>
    <w:uiPriority w:val="0"/>
    <w:pPr>
      <w:widowControl w:val="0"/>
      <w:numPr>
        <w:ilvl w:val="0"/>
        <w:numId w:val="6"/>
      </w:numPr>
      <w:autoSpaceDE w:val="0"/>
      <w:autoSpaceDN w:val="0"/>
      <w:jc w:val="both"/>
    </w:pPr>
    <w:rPr>
      <w:rFonts w:ascii="宋体" w:hAnsi="Times New Roman" w:eastAsia="宋体" w:cs="Times New Roman"/>
      <w:sz w:val="18"/>
      <w:szCs w:val="18"/>
      <w:lang w:val="en-US" w:eastAsia="zh-CN" w:bidi="ar-SA"/>
    </w:rPr>
  </w:style>
  <w:style w:type="paragraph" w:customStyle="1" w:styleId="62">
    <w:name w:val="注×："/>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63">
    <w:name w:val="字母编号列项（一级）"/>
    <w:qFormat/>
    <w:uiPriority w:val="0"/>
    <w:pPr>
      <w:numPr>
        <w:ilvl w:val="0"/>
        <w:numId w:val="5"/>
      </w:numPr>
      <w:jc w:val="both"/>
    </w:pPr>
    <w:rPr>
      <w:rFonts w:ascii="宋体" w:hAnsi="Times New Roman" w:eastAsia="宋体" w:cs="Times New Roman"/>
      <w:sz w:val="21"/>
      <w:lang w:val="en-US" w:eastAsia="zh-CN" w:bidi="ar-SA"/>
    </w:rPr>
  </w:style>
  <w:style w:type="paragraph" w:customStyle="1" w:styleId="64">
    <w:name w:val="列项◆（三级）"/>
    <w:basedOn w:val="1"/>
    <w:qFormat/>
    <w:uiPriority w:val="0"/>
    <w:pPr>
      <w:numPr>
        <w:ilvl w:val="2"/>
        <w:numId w:val="4"/>
      </w:numPr>
    </w:pPr>
    <w:rPr>
      <w:rFonts w:ascii="宋体"/>
      <w:szCs w:val="21"/>
    </w:rPr>
  </w:style>
  <w:style w:type="paragraph" w:customStyle="1" w:styleId="65">
    <w:name w:val="编号列项（三级）"/>
    <w:qFormat/>
    <w:uiPriority w:val="0"/>
    <w:pPr>
      <w:numPr>
        <w:ilvl w:val="2"/>
        <w:numId w:val="5"/>
      </w:numPr>
    </w:pPr>
    <w:rPr>
      <w:rFonts w:ascii="宋体" w:hAnsi="Times New Roman" w:eastAsia="宋体" w:cs="Times New Roman"/>
      <w:sz w:val="21"/>
      <w:lang w:val="en-US" w:eastAsia="zh-CN" w:bidi="ar-SA"/>
    </w:rPr>
  </w:style>
  <w:style w:type="paragraph" w:customStyle="1" w:styleId="66">
    <w:name w:val="示例×："/>
    <w:basedOn w:val="49"/>
    <w:qFormat/>
    <w:uiPriority w:val="0"/>
    <w:pPr>
      <w:numPr>
        <w:numId w:val="0"/>
      </w:numPr>
      <w:spacing w:beforeLines="0" w:afterLines="0"/>
      <w:ind w:firstLine="363"/>
      <w:outlineLvl w:val="9"/>
    </w:pPr>
    <w:rPr>
      <w:rFonts w:ascii="宋体" w:eastAsia="宋体"/>
      <w:sz w:val="18"/>
      <w:szCs w:val="18"/>
    </w:rPr>
  </w:style>
  <w:style w:type="paragraph" w:customStyle="1" w:styleId="67">
    <w:name w:val="二级无"/>
    <w:basedOn w:val="50"/>
    <w:qFormat/>
    <w:uiPriority w:val="0"/>
    <w:pPr>
      <w:spacing w:beforeLines="0" w:afterLines="0"/>
    </w:pPr>
    <w:rPr>
      <w:rFonts w:ascii="宋体" w:eastAsia="宋体"/>
    </w:rPr>
  </w:style>
  <w:style w:type="paragraph" w:customStyle="1" w:styleId="68">
    <w:name w:val="注：（正文）"/>
    <w:basedOn w:val="61"/>
    <w:next w:val="24"/>
    <w:qFormat/>
    <w:uiPriority w:val="0"/>
  </w:style>
  <w:style w:type="paragraph" w:customStyle="1" w:styleId="69">
    <w:name w:val="注×：（正文）"/>
    <w:qFormat/>
    <w:uiPriority w:val="0"/>
    <w:pPr>
      <w:numPr>
        <w:ilvl w:val="0"/>
        <w:numId w:val="7"/>
      </w:numPr>
      <w:jc w:val="both"/>
    </w:pPr>
    <w:rPr>
      <w:rFonts w:ascii="宋体" w:hAnsi="Times New Roman" w:eastAsia="宋体" w:cs="Times New Roman"/>
      <w:sz w:val="18"/>
      <w:szCs w:val="18"/>
      <w:lang w:val="en-US" w:eastAsia="zh-CN" w:bidi="ar-SA"/>
    </w:rPr>
  </w:style>
  <w:style w:type="paragraph" w:customStyle="1" w:styleId="70">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71">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72">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73">
    <w:name w:val="标准书眉_偶数页"/>
    <w:basedOn w:val="48"/>
    <w:next w:val="1"/>
    <w:qFormat/>
    <w:uiPriority w:val="0"/>
    <w:pPr>
      <w:jc w:val="left"/>
    </w:pPr>
  </w:style>
  <w:style w:type="paragraph" w:customStyle="1" w:styleId="74">
    <w:name w:val="标准书眉一"/>
    <w:qFormat/>
    <w:uiPriority w:val="0"/>
    <w:pPr>
      <w:jc w:val="both"/>
    </w:pPr>
    <w:rPr>
      <w:rFonts w:ascii="Times New Roman" w:hAnsi="Times New Roman" w:eastAsia="宋体" w:cs="Times New Roman"/>
      <w:lang w:val="en-US" w:eastAsia="zh-CN" w:bidi="ar-SA"/>
    </w:rPr>
  </w:style>
  <w:style w:type="paragraph" w:customStyle="1" w:styleId="75">
    <w:name w:val="参考文献"/>
    <w:basedOn w:val="1"/>
    <w:next w:val="24"/>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6">
    <w:name w:val="参考文献、索引标题"/>
    <w:basedOn w:val="1"/>
    <w:next w:val="24"/>
    <w:qFormat/>
    <w:uiPriority w:val="0"/>
    <w:pPr>
      <w:keepNext/>
      <w:pageBreakBefore/>
      <w:widowControl/>
      <w:shd w:val="clear" w:color="FFFFFF" w:fill="FFFFFF"/>
      <w:spacing w:before="640" w:after="200"/>
      <w:jc w:val="center"/>
      <w:outlineLvl w:val="0"/>
    </w:pPr>
    <w:rPr>
      <w:rFonts w:ascii="黑体" w:eastAsia="黑体"/>
      <w:kern w:val="0"/>
      <w:szCs w:val="20"/>
    </w:rPr>
  </w:style>
  <w:style w:type="character" w:customStyle="1" w:styleId="77">
    <w:name w:val="发布"/>
    <w:qFormat/>
    <w:uiPriority w:val="0"/>
    <w:rPr>
      <w:rFonts w:ascii="黑体" w:eastAsia="黑体"/>
      <w:spacing w:val="85"/>
      <w:w w:val="100"/>
      <w:position w:val="3"/>
      <w:sz w:val="28"/>
      <w:szCs w:val="28"/>
    </w:rPr>
  </w:style>
  <w:style w:type="paragraph" w:customStyle="1" w:styleId="78">
    <w:name w:val="发布部门"/>
    <w:next w:val="24"/>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79">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80">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81">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82">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3">
    <w:name w:val="封面标准英文名称"/>
    <w:basedOn w:val="82"/>
    <w:qFormat/>
    <w:uiPriority w:val="0"/>
    <w:pPr>
      <w:framePr w:wrap="around"/>
      <w:spacing w:before="370" w:line="400" w:lineRule="exact"/>
    </w:pPr>
    <w:rPr>
      <w:rFonts w:ascii="Times New Roman"/>
      <w:sz w:val="28"/>
      <w:szCs w:val="28"/>
    </w:rPr>
  </w:style>
  <w:style w:type="paragraph" w:customStyle="1" w:styleId="84">
    <w:name w:val="封面一致性程度标识"/>
    <w:basedOn w:val="83"/>
    <w:qFormat/>
    <w:uiPriority w:val="0"/>
    <w:pPr>
      <w:framePr w:wrap="around"/>
      <w:spacing w:before="440"/>
    </w:pPr>
    <w:rPr>
      <w:rFonts w:ascii="宋体" w:eastAsia="宋体"/>
    </w:rPr>
  </w:style>
  <w:style w:type="paragraph" w:customStyle="1" w:styleId="85">
    <w:name w:val="封面标准文稿类别"/>
    <w:basedOn w:val="84"/>
    <w:qFormat/>
    <w:uiPriority w:val="0"/>
    <w:pPr>
      <w:framePr w:wrap="around"/>
      <w:spacing w:after="160" w:line="240" w:lineRule="auto"/>
    </w:pPr>
    <w:rPr>
      <w:sz w:val="24"/>
    </w:rPr>
  </w:style>
  <w:style w:type="paragraph" w:customStyle="1" w:styleId="86">
    <w:name w:val="封面标准文稿编辑信息"/>
    <w:basedOn w:val="85"/>
    <w:qFormat/>
    <w:uiPriority w:val="0"/>
    <w:pPr>
      <w:framePr w:wrap="around"/>
      <w:spacing w:before="180" w:line="180" w:lineRule="exact"/>
    </w:pPr>
    <w:rPr>
      <w:sz w:val="21"/>
    </w:rPr>
  </w:style>
  <w:style w:type="paragraph" w:customStyle="1" w:styleId="87">
    <w:name w:val="封面正文"/>
    <w:qFormat/>
    <w:uiPriority w:val="0"/>
    <w:pPr>
      <w:jc w:val="both"/>
    </w:pPr>
    <w:rPr>
      <w:rFonts w:ascii="Times New Roman" w:hAnsi="Times New Roman" w:eastAsia="宋体" w:cs="Times New Roman"/>
      <w:lang w:val="en-US" w:eastAsia="zh-CN" w:bidi="ar-SA"/>
    </w:rPr>
  </w:style>
  <w:style w:type="paragraph" w:customStyle="1" w:styleId="88">
    <w:name w:val="附录标识"/>
    <w:basedOn w:val="1"/>
    <w:next w:val="24"/>
    <w:qFormat/>
    <w:uiPriority w:val="0"/>
    <w:pPr>
      <w:keepNext/>
      <w:widowControl/>
      <w:numPr>
        <w:ilvl w:val="0"/>
        <w:numId w:val="8"/>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89">
    <w:name w:val="附录标题"/>
    <w:basedOn w:val="24"/>
    <w:next w:val="24"/>
    <w:qFormat/>
    <w:uiPriority w:val="0"/>
    <w:pPr>
      <w:ind w:firstLine="0" w:firstLineChars="0"/>
      <w:jc w:val="center"/>
    </w:pPr>
    <w:rPr>
      <w:rFonts w:ascii="黑体" w:eastAsia="黑体"/>
    </w:rPr>
  </w:style>
  <w:style w:type="paragraph" w:customStyle="1" w:styleId="90">
    <w:name w:val="附录表标号"/>
    <w:basedOn w:val="1"/>
    <w:next w:val="24"/>
    <w:qFormat/>
    <w:uiPriority w:val="0"/>
    <w:pPr>
      <w:numPr>
        <w:ilvl w:val="0"/>
        <w:numId w:val="9"/>
      </w:numPr>
      <w:tabs>
        <w:tab w:val="clear" w:pos="0"/>
      </w:tabs>
      <w:spacing w:line="14" w:lineRule="exact"/>
      <w:ind w:left="811" w:hanging="448"/>
      <w:jc w:val="center"/>
      <w:outlineLvl w:val="0"/>
    </w:pPr>
    <w:rPr>
      <w:color w:val="FFFFFF"/>
    </w:rPr>
  </w:style>
  <w:style w:type="paragraph" w:customStyle="1" w:styleId="91">
    <w:name w:val="附录表标题"/>
    <w:basedOn w:val="1"/>
    <w:next w:val="24"/>
    <w:qFormat/>
    <w:uiPriority w:val="0"/>
    <w:pPr>
      <w:numPr>
        <w:ilvl w:val="1"/>
        <w:numId w:val="9"/>
      </w:numPr>
      <w:tabs>
        <w:tab w:val="left" w:pos="180"/>
      </w:tabs>
      <w:spacing w:beforeLines="50" w:afterLines="50"/>
      <w:ind w:left="0" w:firstLine="0"/>
      <w:jc w:val="center"/>
    </w:pPr>
    <w:rPr>
      <w:rFonts w:ascii="黑体" w:eastAsia="黑体"/>
      <w:szCs w:val="21"/>
    </w:rPr>
  </w:style>
  <w:style w:type="paragraph" w:customStyle="1" w:styleId="92">
    <w:name w:val="附录二级条标题"/>
    <w:basedOn w:val="1"/>
    <w:next w:val="24"/>
    <w:qFormat/>
    <w:uiPriority w:val="0"/>
    <w:pPr>
      <w:widowControl/>
      <w:numPr>
        <w:ilvl w:val="3"/>
        <w:numId w:val="8"/>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93">
    <w:name w:val="附录二级无"/>
    <w:basedOn w:val="92"/>
    <w:qFormat/>
    <w:uiPriority w:val="0"/>
    <w:pPr>
      <w:tabs>
        <w:tab w:val="clear" w:pos="360"/>
      </w:tabs>
      <w:spacing w:beforeLines="0" w:afterLines="0"/>
    </w:pPr>
    <w:rPr>
      <w:rFonts w:ascii="宋体" w:eastAsia="宋体"/>
      <w:szCs w:val="21"/>
    </w:rPr>
  </w:style>
  <w:style w:type="paragraph" w:customStyle="1" w:styleId="94">
    <w:name w:val="附录公式"/>
    <w:basedOn w:val="24"/>
    <w:next w:val="24"/>
    <w:link w:val="95"/>
    <w:qFormat/>
    <w:uiPriority w:val="0"/>
  </w:style>
  <w:style w:type="character" w:customStyle="1" w:styleId="95">
    <w:name w:val="附录公式 Char"/>
    <w:basedOn w:val="45"/>
    <w:link w:val="94"/>
    <w:qFormat/>
    <w:uiPriority w:val="0"/>
    <w:rPr>
      <w:rFonts w:ascii="宋体"/>
      <w:sz w:val="21"/>
      <w:lang w:val="en-US" w:eastAsia="zh-CN" w:bidi="ar-SA"/>
    </w:rPr>
  </w:style>
  <w:style w:type="paragraph" w:customStyle="1" w:styleId="96">
    <w:name w:val="附录公式编号制表符"/>
    <w:basedOn w:val="1"/>
    <w:next w:val="24"/>
    <w:qFormat/>
    <w:uiPriority w:val="0"/>
    <w:pPr>
      <w:widowControl/>
      <w:tabs>
        <w:tab w:val="center" w:pos="4201"/>
        <w:tab w:val="right" w:leader="dot" w:pos="9298"/>
      </w:tabs>
      <w:autoSpaceDE w:val="0"/>
      <w:autoSpaceDN w:val="0"/>
    </w:pPr>
    <w:rPr>
      <w:rFonts w:ascii="宋体"/>
      <w:kern w:val="0"/>
      <w:szCs w:val="20"/>
    </w:rPr>
  </w:style>
  <w:style w:type="paragraph" w:customStyle="1" w:styleId="97">
    <w:name w:val="附录三级条标题"/>
    <w:basedOn w:val="92"/>
    <w:next w:val="24"/>
    <w:qFormat/>
    <w:uiPriority w:val="0"/>
    <w:pPr>
      <w:numPr>
        <w:ilvl w:val="4"/>
      </w:numPr>
      <w:outlineLvl w:val="4"/>
    </w:pPr>
  </w:style>
  <w:style w:type="paragraph" w:customStyle="1" w:styleId="98">
    <w:name w:val="附录三级无"/>
    <w:basedOn w:val="97"/>
    <w:qFormat/>
    <w:uiPriority w:val="0"/>
    <w:pPr>
      <w:tabs>
        <w:tab w:val="clear" w:pos="360"/>
      </w:tabs>
      <w:spacing w:beforeLines="0" w:afterLines="0"/>
    </w:pPr>
    <w:rPr>
      <w:rFonts w:ascii="宋体" w:eastAsia="宋体"/>
      <w:szCs w:val="21"/>
    </w:rPr>
  </w:style>
  <w:style w:type="paragraph" w:customStyle="1" w:styleId="99">
    <w:name w:val="附录数字编号列项（二级）"/>
    <w:qFormat/>
    <w:uiPriority w:val="0"/>
    <w:pPr>
      <w:numPr>
        <w:ilvl w:val="1"/>
        <w:numId w:val="10"/>
      </w:numPr>
    </w:pPr>
    <w:rPr>
      <w:rFonts w:ascii="宋体" w:hAnsi="Times New Roman" w:eastAsia="宋体" w:cs="Times New Roman"/>
      <w:sz w:val="21"/>
      <w:lang w:val="en-US" w:eastAsia="zh-CN" w:bidi="ar-SA"/>
    </w:rPr>
  </w:style>
  <w:style w:type="paragraph" w:customStyle="1" w:styleId="100">
    <w:name w:val="附录四级条标题"/>
    <w:basedOn w:val="97"/>
    <w:next w:val="24"/>
    <w:qFormat/>
    <w:uiPriority w:val="0"/>
    <w:pPr>
      <w:numPr>
        <w:ilvl w:val="5"/>
      </w:numPr>
      <w:outlineLvl w:val="5"/>
    </w:pPr>
  </w:style>
  <w:style w:type="paragraph" w:customStyle="1" w:styleId="101">
    <w:name w:val="附录四级无"/>
    <w:basedOn w:val="100"/>
    <w:qFormat/>
    <w:uiPriority w:val="0"/>
    <w:pPr>
      <w:tabs>
        <w:tab w:val="clear" w:pos="360"/>
      </w:tabs>
      <w:spacing w:beforeLines="0" w:afterLines="0"/>
    </w:pPr>
    <w:rPr>
      <w:rFonts w:ascii="宋体" w:eastAsia="宋体"/>
      <w:szCs w:val="21"/>
    </w:rPr>
  </w:style>
  <w:style w:type="paragraph" w:customStyle="1" w:styleId="102">
    <w:name w:val="附录图标号"/>
    <w:basedOn w:val="1"/>
    <w:qFormat/>
    <w:uiPriority w:val="0"/>
    <w:pPr>
      <w:keepNext/>
      <w:pageBreakBefore/>
      <w:widowControl/>
      <w:numPr>
        <w:ilvl w:val="0"/>
        <w:numId w:val="11"/>
      </w:numPr>
      <w:spacing w:line="14" w:lineRule="exact"/>
      <w:ind w:left="0" w:firstLine="363"/>
      <w:jc w:val="center"/>
      <w:outlineLvl w:val="0"/>
    </w:pPr>
    <w:rPr>
      <w:color w:val="FFFFFF"/>
    </w:rPr>
  </w:style>
  <w:style w:type="paragraph" w:customStyle="1" w:styleId="103">
    <w:name w:val="附录图标题"/>
    <w:basedOn w:val="1"/>
    <w:next w:val="24"/>
    <w:qFormat/>
    <w:uiPriority w:val="0"/>
    <w:pPr>
      <w:numPr>
        <w:ilvl w:val="1"/>
        <w:numId w:val="11"/>
      </w:numPr>
      <w:tabs>
        <w:tab w:val="left" w:pos="363"/>
      </w:tabs>
      <w:spacing w:beforeLines="50" w:afterLines="50"/>
      <w:ind w:left="0" w:firstLine="0"/>
      <w:jc w:val="center"/>
    </w:pPr>
    <w:rPr>
      <w:rFonts w:ascii="黑体" w:eastAsia="黑体"/>
      <w:szCs w:val="21"/>
    </w:rPr>
  </w:style>
  <w:style w:type="paragraph" w:customStyle="1" w:styleId="104">
    <w:name w:val="附录五级条标题"/>
    <w:basedOn w:val="100"/>
    <w:next w:val="24"/>
    <w:qFormat/>
    <w:uiPriority w:val="0"/>
    <w:pPr>
      <w:numPr>
        <w:ilvl w:val="6"/>
      </w:numPr>
      <w:outlineLvl w:val="6"/>
    </w:pPr>
  </w:style>
  <w:style w:type="paragraph" w:customStyle="1" w:styleId="105">
    <w:name w:val="附录五级无"/>
    <w:basedOn w:val="104"/>
    <w:qFormat/>
    <w:uiPriority w:val="0"/>
    <w:pPr>
      <w:tabs>
        <w:tab w:val="clear" w:pos="360"/>
      </w:tabs>
      <w:spacing w:beforeLines="0" w:afterLines="0"/>
    </w:pPr>
    <w:rPr>
      <w:rFonts w:ascii="宋体" w:eastAsia="宋体"/>
      <w:szCs w:val="21"/>
    </w:rPr>
  </w:style>
  <w:style w:type="paragraph" w:customStyle="1" w:styleId="106">
    <w:name w:val="附录章标题"/>
    <w:next w:val="24"/>
    <w:qFormat/>
    <w:uiPriority w:val="0"/>
    <w:pPr>
      <w:numPr>
        <w:ilvl w:val="1"/>
        <w:numId w:val="8"/>
      </w:num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107">
    <w:name w:val="附录一级条标题"/>
    <w:basedOn w:val="106"/>
    <w:next w:val="24"/>
    <w:qFormat/>
    <w:uiPriority w:val="0"/>
    <w:pPr>
      <w:numPr>
        <w:ilvl w:val="2"/>
      </w:numPr>
      <w:autoSpaceDN w:val="0"/>
      <w:spacing w:beforeLines="50" w:afterLines="50"/>
      <w:outlineLvl w:val="2"/>
    </w:pPr>
  </w:style>
  <w:style w:type="paragraph" w:customStyle="1" w:styleId="108">
    <w:name w:val="附录一级无"/>
    <w:basedOn w:val="107"/>
    <w:qFormat/>
    <w:uiPriority w:val="0"/>
    <w:pPr>
      <w:tabs>
        <w:tab w:val="clear" w:pos="360"/>
      </w:tabs>
      <w:spacing w:beforeLines="0" w:afterLines="0"/>
    </w:pPr>
    <w:rPr>
      <w:rFonts w:ascii="宋体" w:eastAsia="宋体"/>
      <w:szCs w:val="21"/>
    </w:rPr>
  </w:style>
  <w:style w:type="paragraph" w:customStyle="1" w:styleId="109">
    <w:name w:val="附录字母编号列项（一级）"/>
    <w:qFormat/>
    <w:uiPriority w:val="0"/>
    <w:pPr>
      <w:numPr>
        <w:ilvl w:val="0"/>
        <w:numId w:val="10"/>
      </w:numPr>
    </w:pPr>
    <w:rPr>
      <w:rFonts w:ascii="宋体" w:hAnsi="Times New Roman" w:eastAsia="宋体" w:cs="Times New Roman"/>
      <w:sz w:val="21"/>
      <w:lang w:val="en-US" w:eastAsia="zh-CN" w:bidi="ar-SA"/>
    </w:rPr>
  </w:style>
  <w:style w:type="paragraph" w:customStyle="1" w:styleId="110">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1">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12">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13">
    <w:name w:val="其他标准标志"/>
    <w:basedOn w:val="70"/>
    <w:qFormat/>
    <w:uiPriority w:val="0"/>
    <w:pPr>
      <w:framePr w:w="6101" w:wrap="around" w:vAnchor="page" w:hAnchor="page" w:x="4673" w:y="942"/>
    </w:pPr>
    <w:rPr>
      <w:w w:val="130"/>
    </w:rPr>
  </w:style>
  <w:style w:type="paragraph" w:customStyle="1" w:styleId="114">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15">
    <w:name w:val="其他发布部门"/>
    <w:basedOn w:val="78"/>
    <w:qFormat/>
    <w:uiPriority w:val="0"/>
    <w:pPr>
      <w:framePr w:wrap="around" w:y="15310"/>
      <w:spacing w:line="0" w:lineRule="atLeast"/>
    </w:pPr>
    <w:rPr>
      <w:rFonts w:ascii="黑体" w:eastAsia="黑体"/>
      <w:b w:val="0"/>
    </w:rPr>
  </w:style>
  <w:style w:type="paragraph" w:customStyle="1" w:styleId="116">
    <w:name w:val="前言、引言标题"/>
    <w:next w:val="24"/>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17">
    <w:name w:val="三级无"/>
    <w:basedOn w:val="55"/>
    <w:qFormat/>
    <w:uiPriority w:val="0"/>
    <w:pPr>
      <w:spacing w:beforeLines="0" w:afterLines="0"/>
    </w:pPr>
    <w:rPr>
      <w:rFonts w:ascii="宋体" w:eastAsia="宋体"/>
    </w:rPr>
  </w:style>
  <w:style w:type="paragraph" w:customStyle="1" w:styleId="118">
    <w:name w:val="实施日期"/>
    <w:basedOn w:val="79"/>
    <w:qFormat/>
    <w:uiPriority w:val="0"/>
    <w:pPr>
      <w:framePr w:wrap="around" w:vAnchor="page" w:hAnchor="text"/>
      <w:jc w:val="right"/>
    </w:pPr>
  </w:style>
  <w:style w:type="paragraph" w:customStyle="1" w:styleId="119">
    <w:name w:val="示例后文字"/>
    <w:basedOn w:val="24"/>
    <w:next w:val="24"/>
    <w:qFormat/>
    <w:uiPriority w:val="0"/>
    <w:pPr>
      <w:ind w:firstLine="360"/>
    </w:pPr>
    <w:rPr>
      <w:sz w:val="18"/>
    </w:rPr>
  </w:style>
  <w:style w:type="paragraph" w:customStyle="1" w:styleId="120">
    <w:name w:val="首示例"/>
    <w:next w:val="24"/>
    <w:link w:val="121"/>
    <w:qFormat/>
    <w:uiPriority w:val="0"/>
    <w:pPr>
      <w:tabs>
        <w:tab w:val="left" w:pos="360"/>
      </w:tabs>
    </w:pPr>
    <w:rPr>
      <w:rFonts w:ascii="宋体" w:hAnsi="宋体" w:eastAsia="宋体" w:cs="Times New Roman"/>
      <w:kern w:val="2"/>
      <w:sz w:val="18"/>
      <w:szCs w:val="18"/>
      <w:lang w:val="en-US" w:eastAsia="zh-CN" w:bidi="ar-SA"/>
    </w:rPr>
  </w:style>
  <w:style w:type="character" w:customStyle="1" w:styleId="121">
    <w:name w:val="首示例 Char"/>
    <w:link w:val="120"/>
    <w:qFormat/>
    <w:uiPriority w:val="0"/>
    <w:rPr>
      <w:rFonts w:ascii="宋体" w:hAnsi="宋体"/>
      <w:kern w:val="2"/>
      <w:sz w:val="18"/>
      <w:szCs w:val="18"/>
    </w:rPr>
  </w:style>
  <w:style w:type="paragraph" w:customStyle="1" w:styleId="122">
    <w:name w:val="四级无"/>
    <w:basedOn w:val="59"/>
    <w:qFormat/>
    <w:uiPriority w:val="0"/>
    <w:pPr>
      <w:spacing w:beforeLines="0" w:afterLines="0"/>
    </w:pPr>
    <w:rPr>
      <w:rFonts w:ascii="宋体" w:eastAsia="宋体"/>
    </w:rPr>
  </w:style>
  <w:style w:type="paragraph" w:customStyle="1" w:styleId="123">
    <w:name w:val="条文脚注"/>
    <w:basedOn w:val="25"/>
    <w:qFormat/>
    <w:uiPriority w:val="0"/>
    <w:pPr>
      <w:numPr>
        <w:numId w:val="0"/>
      </w:numPr>
      <w:jc w:val="both"/>
    </w:pPr>
  </w:style>
  <w:style w:type="paragraph" w:customStyle="1" w:styleId="124">
    <w:name w:val="图标脚注说明"/>
    <w:basedOn w:val="24"/>
    <w:qFormat/>
    <w:uiPriority w:val="0"/>
    <w:pPr>
      <w:ind w:left="840" w:hanging="420" w:firstLineChars="0"/>
    </w:pPr>
    <w:rPr>
      <w:sz w:val="18"/>
      <w:szCs w:val="18"/>
    </w:rPr>
  </w:style>
  <w:style w:type="paragraph" w:customStyle="1" w:styleId="125">
    <w:name w:val="图表脚注说明"/>
    <w:basedOn w:val="1"/>
    <w:qFormat/>
    <w:uiPriority w:val="0"/>
    <w:pPr>
      <w:ind w:left="544" w:hanging="181"/>
    </w:pPr>
    <w:rPr>
      <w:rFonts w:ascii="宋体"/>
      <w:sz w:val="18"/>
      <w:szCs w:val="18"/>
    </w:rPr>
  </w:style>
  <w:style w:type="paragraph" w:customStyle="1" w:styleId="126">
    <w:name w:val="图的脚注"/>
    <w:next w:val="24"/>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27">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28">
    <w:name w:val="五级无"/>
    <w:basedOn w:val="60"/>
    <w:qFormat/>
    <w:uiPriority w:val="0"/>
    <w:pPr>
      <w:spacing w:beforeLines="0" w:afterLines="0"/>
    </w:pPr>
    <w:rPr>
      <w:rFonts w:ascii="宋体" w:eastAsia="宋体"/>
    </w:rPr>
  </w:style>
  <w:style w:type="paragraph" w:customStyle="1" w:styleId="129">
    <w:name w:val="一级无"/>
    <w:basedOn w:val="46"/>
    <w:qFormat/>
    <w:uiPriority w:val="0"/>
    <w:pPr>
      <w:spacing w:beforeLines="0" w:afterLines="0"/>
    </w:pPr>
    <w:rPr>
      <w:rFonts w:ascii="宋体" w:eastAsia="宋体"/>
    </w:rPr>
  </w:style>
  <w:style w:type="paragraph" w:customStyle="1" w:styleId="130">
    <w:name w:val="正文表标题"/>
    <w:next w:val="24"/>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31">
    <w:name w:val="正文公式编号制表符"/>
    <w:basedOn w:val="24"/>
    <w:next w:val="24"/>
    <w:qFormat/>
    <w:uiPriority w:val="0"/>
    <w:pPr>
      <w:ind w:firstLine="0" w:firstLineChars="0"/>
    </w:pPr>
  </w:style>
  <w:style w:type="paragraph" w:customStyle="1" w:styleId="132">
    <w:name w:val="正文图标题"/>
    <w:next w:val="24"/>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33">
    <w:name w:val="终结线"/>
    <w:basedOn w:val="1"/>
    <w:qFormat/>
    <w:uiPriority w:val="0"/>
    <w:pPr>
      <w:framePr w:hSpace="181" w:vSpace="181" w:wrap="around" w:vAnchor="text" w:hAnchor="margin" w:xAlign="center" w:y="285"/>
    </w:pPr>
  </w:style>
  <w:style w:type="paragraph" w:customStyle="1" w:styleId="134">
    <w:name w:val="其他发布日期"/>
    <w:basedOn w:val="79"/>
    <w:qFormat/>
    <w:uiPriority w:val="0"/>
    <w:pPr>
      <w:framePr w:wrap="around" w:vAnchor="page" w:hAnchor="text" w:x="1419"/>
    </w:pPr>
  </w:style>
  <w:style w:type="paragraph" w:customStyle="1" w:styleId="135">
    <w:name w:val="其他实施日期"/>
    <w:basedOn w:val="118"/>
    <w:qFormat/>
    <w:uiPriority w:val="0"/>
    <w:pPr>
      <w:framePr w:wrap="around"/>
    </w:pPr>
  </w:style>
  <w:style w:type="paragraph" w:customStyle="1" w:styleId="136">
    <w:name w:val="封面标准名称2"/>
    <w:basedOn w:val="82"/>
    <w:qFormat/>
    <w:uiPriority w:val="0"/>
    <w:pPr>
      <w:framePr w:wrap="around" w:y="4469"/>
      <w:spacing w:beforeLines="630"/>
    </w:pPr>
  </w:style>
  <w:style w:type="paragraph" w:customStyle="1" w:styleId="137">
    <w:name w:val="封面标准英文名称2"/>
    <w:basedOn w:val="83"/>
    <w:qFormat/>
    <w:uiPriority w:val="0"/>
    <w:pPr>
      <w:framePr w:wrap="around" w:y="4469"/>
    </w:pPr>
  </w:style>
  <w:style w:type="paragraph" w:customStyle="1" w:styleId="138">
    <w:name w:val="封面一致性程度标识2"/>
    <w:basedOn w:val="84"/>
    <w:qFormat/>
    <w:uiPriority w:val="0"/>
    <w:pPr>
      <w:framePr w:wrap="around" w:y="4469"/>
    </w:pPr>
  </w:style>
  <w:style w:type="paragraph" w:customStyle="1" w:styleId="139">
    <w:name w:val="封面标准文稿类别2"/>
    <w:basedOn w:val="85"/>
    <w:qFormat/>
    <w:uiPriority w:val="0"/>
    <w:pPr>
      <w:framePr w:wrap="around" w:y="4469"/>
    </w:pPr>
  </w:style>
  <w:style w:type="paragraph" w:customStyle="1" w:styleId="140">
    <w:name w:val="封面标准文稿编辑信息2"/>
    <w:basedOn w:val="86"/>
    <w:qFormat/>
    <w:uiPriority w:val="0"/>
    <w:pPr>
      <w:framePr w:wrap="around" w:y="4469"/>
    </w:pPr>
  </w:style>
  <w:style w:type="character" w:customStyle="1" w:styleId="141">
    <w:name w:val="apple-style-span"/>
    <w:basedOn w:val="36"/>
    <w:qFormat/>
    <w:uiPriority w:val="0"/>
  </w:style>
  <w:style w:type="character" w:customStyle="1" w:styleId="142">
    <w:name w:val="footnote_number"/>
    <w:basedOn w:val="36"/>
    <w:qFormat/>
    <w:uiPriority w:val="0"/>
  </w:style>
  <w:style w:type="character" w:customStyle="1" w:styleId="143">
    <w:name w:val="日期 字符"/>
    <w:link w:val="15"/>
    <w:qFormat/>
    <w:uiPriority w:val="0"/>
    <w:rPr>
      <w:kern w:val="2"/>
      <w:sz w:val="21"/>
      <w:szCs w:val="24"/>
    </w:rPr>
  </w:style>
  <w:style w:type="character" w:customStyle="1" w:styleId="144">
    <w:name w:val="一级条标题 Char"/>
    <w:link w:val="46"/>
    <w:qFormat/>
    <w:uiPriority w:val="0"/>
    <w:rPr>
      <w:rFonts w:ascii="黑体" w:eastAsia="黑体"/>
      <w:sz w:val="21"/>
      <w:szCs w:val="21"/>
    </w:rPr>
  </w:style>
  <w:style w:type="character" w:customStyle="1" w:styleId="145">
    <w:name w:val="二级条标题 Char"/>
    <w:basedOn w:val="144"/>
    <w:link w:val="50"/>
    <w:qFormat/>
    <w:uiPriority w:val="0"/>
    <w:rPr>
      <w:rFonts w:ascii="黑体" w:eastAsia="黑体"/>
      <w:sz w:val="21"/>
      <w:szCs w:val="21"/>
    </w:rPr>
  </w:style>
  <w:style w:type="character" w:customStyle="1" w:styleId="146">
    <w:name w:val="批注文字 字符"/>
    <w:link w:val="7"/>
    <w:qFormat/>
    <w:uiPriority w:val="0"/>
    <w:rPr>
      <w:kern w:val="2"/>
      <w:sz w:val="21"/>
      <w:szCs w:val="24"/>
    </w:rPr>
  </w:style>
  <w:style w:type="character" w:customStyle="1" w:styleId="147">
    <w:name w:val="批注主题 字符"/>
    <w:link w:val="33"/>
    <w:qFormat/>
    <w:uiPriority w:val="0"/>
    <w:rPr>
      <w:b/>
      <w:bCs/>
      <w:kern w:val="2"/>
      <w:sz w:val="21"/>
      <w:szCs w:val="24"/>
    </w:rPr>
  </w:style>
  <w:style w:type="character" w:customStyle="1" w:styleId="148">
    <w:name w:val="页眉 字符"/>
    <w:link w:val="19"/>
    <w:qFormat/>
    <w:uiPriority w:val="0"/>
    <w:rPr>
      <w:kern w:val="2"/>
      <w:sz w:val="18"/>
      <w:szCs w:val="18"/>
    </w:rPr>
  </w:style>
  <w:style w:type="paragraph" w:customStyle="1" w:styleId="14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150">
    <w:name w:val="high-light-bg"/>
    <w:basedOn w:val="36"/>
    <w:qFormat/>
    <w:uiPriority w:val="0"/>
  </w:style>
  <w:style w:type="character" w:customStyle="1" w:styleId="151">
    <w:name w:val="纯文本 字符"/>
    <w:basedOn w:val="36"/>
    <w:link w:val="12"/>
    <w:qFormat/>
    <w:uiPriority w:val="0"/>
    <w:rPr>
      <w:rFonts w:ascii="宋体" w:hAnsi="Courier New"/>
      <w:kern w:val="2"/>
      <w:sz w:val="21"/>
    </w:rPr>
  </w:style>
  <w:style w:type="paragraph" w:customStyle="1" w:styleId="152">
    <w:name w:val="图表脚注"/>
    <w:next w:val="24"/>
    <w:qFormat/>
    <w:uiPriority w:val="0"/>
    <w:pPr>
      <w:ind w:left="300" w:leftChars="200" w:hanging="100" w:hangingChars="100"/>
      <w:jc w:val="both"/>
    </w:pPr>
    <w:rPr>
      <w:rFonts w:ascii="宋体" w:hAnsi="Times New Roman" w:eastAsia="宋体" w:cs="Times New Roman"/>
      <w:sz w:val="18"/>
      <w:lang w:val="en-US" w:eastAsia="zh-CN" w:bidi="ar-SA"/>
    </w:rPr>
  </w:style>
  <w:style w:type="paragraph" w:styleId="153">
    <w:name w:val="List Paragraph"/>
    <w:basedOn w:val="1"/>
    <w:qFormat/>
    <w:uiPriority w:val="34"/>
    <w:pPr>
      <w:ind w:firstLine="420" w:firstLineChars="200"/>
    </w:pPr>
  </w:style>
  <w:style w:type="paragraph" w:customStyle="1" w:styleId="154">
    <w:name w:val="列项——"/>
    <w:qFormat/>
    <w:uiPriority w:val="0"/>
    <w:pPr>
      <w:widowControl w:val="0"/>
      <w:numPr>
        <w:ilvl w:val="0"/>
        <w:numId w:val="12"/>
      </w:numPr>
      <w:jc w:val="both"/>
    </w:pPr>
    <w:rPr>
      <w:rFonts w:ascii="宋体" w:hAnsi="Times New Roman" w:eastAsia="宋体" w:cs="Times New Roman"/>
      <w:sz w:val="21"/>
      <w:lang w:val="en-US" w:eastAsia="zh-CN" w:bidi="ar-SA"/>
    </w:rPr>
  </w:style>
  <w:style w:type="paragraph" w:customStyle="1" w:styleId="155">
    <w:name w:val="样式 章标题 + 段前: 0.5 行 段后: 0.5 行"/>
    <w:basedOn w:val="49"/>
    <w:qFormat/>
    <w:uiPriority w:val="0"/>
    <w:pPr>
      <w:numPr>
        <w:ilvl w:val="1"/>
        <w:numId w:val="0"/>
      </w:numPr>
      <w:spacing w:beforeLines="50" w:afterLines="50"/>
    </w:pPr>
    <w:rPr>
      <w:rFonts w:cs="宋体"/>
    </w:rPr>
  </w:style>
  <w:style w:type="character" w:customStyle="1" w:styleId="156">
    <w:name w:val="fontstyle01"/>
    <w:basedOn w:val="36"/>
    <w:qFormat/>
    <w:uiPriority w:val="0"/>
    <w:rPr>
      <w:rFonts w:hint="eastAsia" w:ascii="宋体" w:hAnsi="宋体" w:eastAsia="宋体"/>
      <w:color w:val="000000"/>
      <w:sz w:val="22"/>
      <w:szCs w:val="22"/>
    </w:rPr>
  </w:style>
  <w:style w:type="character" w:styleId="157">
    <w:name w:val="Placeholder Text"/>
    <w:basedOn w:val="36"/>
    <w:semiHidden/>
    <w:qFormat/>
    <w:uiPriority w:val="99"/>
    <w:rPr>
      <w:color w:val="808080"/>
    </w:rPr>
  </w:style>
  <w:style w:type="character" w:customStyle="1" w:styleId="158">
    <w:name w:val="一级条标题 Char Char"/>
    <w:qFormat/>
    <w:locked/>
    <w:uiPriority w:val="0"/>
    <w:rPr>
      <w:rFonts w:ascii="黑体" w:eastAsia="黑体"/>
      <w:sz w:val="21"/>
      <w:szCs w:val="21"/>
      <w:lang w:val="en-US" w:eastAsia="zh-CN" w:bidi="ar-SA"/>
    </w:rPr>
  </w:style>
  <w:style w:type="character" w:customStyle="1" w:styleId="159">
    <w:name w:val="页脚 字符"/>
    <w:basedOn w:val="36"/>
    <w:link w:val="18"/>
    <w:qFormat/>
    <w:uiPriority w:val="99"/>
    <w:rPr>
      <w:kern w:val="2"/>
      <w:sz w:val="18"/>
      <w:szCs w:val="18"/>
    </w:rPr>
  </w:style>
  <w:style w:type="paragraph" w:customStyle="1" w:styleId="160">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61">
    <w:name w:val="标准文件_文件编号"/>
    <w:basedOn w:val="160"/>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62">
    <w:name w:val="标准文件_替换文件编号"/>
    <w:basedOn w:val="161"/>
    <w:qFormat/>
    <w:uiPriority w:val="0"/>
    <w:pPr>
      <w:framePr/>
      <w:spacing w:before="57"/>
    </w:pPr>
    <w:rPr>
      <w:sz w:val="21"/>
    </w:rPr>
  </w:style>
  <w:style w:type="paragraph" w:customStyle="1" w:styleId="163">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microsoft.com/office/2006/relationships/keyMapCustomizations" Target="customizations.xml"/><Relationship Id="rId14" Type="http://schemas.openxmlformats.org/officeDocument/2006/relationships/customXml" Target="../customXml/item3.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ontractReview xmlns="http://schemas.wps.cn/vas-ai-hub/contract-review">
  <reviewItems>
    <reviewItem>
      <errorID>2015ddcd-d203-4207-a588-9b548a453bb2</errorID>
      <errorWord>,</errorWord>
      <group>L1_Format</group>
      <groupName>格式问题</groupName>
      <ability>L2_HalfPunc_CN</ability>
      <abilityName>全半角问题</abilityName>
      <candidateList>
        <item>，</item>
      </candidateList>
      <explain>文本全半角错误。</explain>
      <paraID>297A044D</paraID>
      <start>38</start>
      <end>39</end>
      <status>modified</status>
      <modifiedWord>，</modifiedWord>
      <trackRevisions>false</trackRevisions>
    </reviewItem>
    <reviewItem>
      <errorID>315c415a-c9c5-4c0c-abf7-2d05dc90504d</errorID>
      <errorWord>-</errorWord>
      <group>L1_Format</group>
      <groupName>格式问题</groupName>
      <ability>L2_HalfPunc_CN</ability>
      <abilityName>全半角问题</abilityName>
      <candidateList>
        <item>－</item>
      </candidateList>
      <explain>文本全半角错误。</explain>
      <paraID>680311C4</paraID>
      <start>4</start>
      <end>5</end>
      <status>unmodified</status>
      <modifiedWord/>
      <trackRevisions>false</trackRevisions>
    </reviewItem>
    <reviewItem>
      <errorID>fac0ab70-da2b-4e09-9b9a-bee176045e3e</errorID>
      <errorWord>-</errorWord>
      <group>L1_Format</group>
      <groupName>格式问题</groupName>
      <ability>L2_HalfPunc_CN</ability>
      <abilityName>全半角问题</abilityName>
      <candidateList>
        <item>－</item>
      </candidateList>
      <explain>文本全半角错误。</explain>
      <paraID>680311C4</paraID>
      <start>10</start>
      <end>11</end>
      <status>unmodified</status>
      <modifiedWord/>
      <trackRevisions>false</trackRevisions>
    </reviewItem>
    <reviewItem>
      <errorID>8a9e016e-06bb-4c54-af38-a09b439dff6b</errorID>
      <errorWord>-</errorWord>
      <group>L1_Format</group>
      <groupName>格式问题</groupName>
      <ability>L2_HalfPunc_CN</ability>
      <abilityName>全半角问题</abilityName>
      <candidateList>
        <item>－</item>
      </candidateList>
      <explain>文本全半角错误。</explain>
      <paraID>680311C4</paraID>
      <start>15</start>
      <end>16</end>
      <status>unmodified</status>
      <modifiedWord/>
      <trackRevisions>false</trackRevisions>
    </reviewItem>
    <reviewItem>
      <errorID>07dd84da-73e8-4b47-83c0-f41e1087c0fc</errorID>
      <errorWord>）</errorWord>
      <group>L1_Word</group>
      <groupName>字词问题</groupName>
      <ability>L2_Typo</ability>
      <abilityName>字词错误</abilityName>
      <candidateList>
        <item>）第</item>
      </candidateList>
      <explain/>
      <paraID>3A16A040</paraID>
      <start>107</start>
      <end>108</end>
      <status>unmodified</status>
      <modifiedWord/>
      <trackRevisions>false</trackRevisions>
    </reviewItem>
    <reviewItem>
      <errorID>fae099fa-c985-47f1-af9f-eae9c2d21916</errorID>
      <errorWord>:</errorWord>
      <group>L1_Format</group>
      <groupName>格式问题</groupName>
      <ability>L2_HalfPunc_CN</ability>
      <abilityName>全半角问题</abilityName>
      <candidateList>
        <item>：</item>
      </candidateList>
      <explain>文本全半角错误。</explain>
      <paraID>5B2EDAC9</paraID>
      <start>2</start>
      <end>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2E29DF-747C-45F5-9B12-BB9C22ACF923}">
  <ds:schemaRefs/>
</ds:datastoreItem>
</file>

<file path=customXml/itemProps3.xml><?xml version="1.0" encoding="utf-8"?>
<ds:datastoreItem xmlns:ds="http://schemas.openxmlformats.org/officeDocument/2006/customXml" ds:itemID="{9A2EF545-3E97-4C22-9EDE-437650402B7C}">
  <ds:schemaRefs/>
</ds:datastoreItem>
</file>

<file path=docProps/app.xml><?xml version="1.0" encoding="utf-8"?>
<Properties xmlns="http://schemas.openxmlformats.org/officeDocument/2006/extended-properties" xmlns:vt="http://schemas.openxmlformats.org/officeDocument/2006/docPropsVTypes">
  <Template>Normal</Template>
  <Pages>15</Pages>
  <Words>4327</Words>
  <Characters>5255</Characters>
  <Lines>47</Lines>
  <Paragraphs>13</Paragraphs>
  <TotalTime>103</TotalTime>
  <ScaleCrop>false</ScaleCrop>
  <LinksUpToDate>false</LinksUpToDate>
  <CharactersWithSpaces>5493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2019-06-11T07:35:00Z</dcterms:created>
  <dc:creator>win10</dc:creator>
  <cp:lastModifiedBy>Julian</cp:lastModifiedBy>
  <cp:lastPrinted>2013-11-12T08:38:00Z</cp:lastPrinted>
  <dcterms:modified xsi:type="dcterms:W3CDTF">2026-08-21T07:27:52Z</dcterms:modified>
  <dc:title>标准名称</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eyJoZGlkIjoiOGI4NjI5OTBmMDM1ODFlMDkzNDFlZTFiMWNhZWU5ZTMiLCJ1c2VySWQiOiIzMDk3NTI4ODEifQ==</vt:lpwstr>
  </property>
  <property fmtid="{D5CDD505-2E9C-101B-9397-08002B2CF9AE}" pid="4" name="ICV">
    <vt:lpwstr>A0B30249CFC14C86AA6B5B4B4F478BA8_13</vt:lpwstr>
  </property>
</Properties>
</file>