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691D0">
      <w:pPr>
        <w:snapToGrid w:val="0"/>
        <w:spacing w:line="360" w:lineRule="auto"/>
        <w:jc w:val="center"/>
        <w:rPr>
          <w:rFonts w:ascii="Times New Roman" w:hAnsi="Times New Roman" w:eastAsia="黑体" w:cs="Times New Roman"/>
          <w:b/>
          <w:bCs/>
          <w:sz w:val="32"/>
          <w:szCs w:val="32"/>
        </w:rPr>
      </w:pPr>
      <w:bookmarkStart w:id="10" w:name="_GoBack"/>
      <w:bookmarkEnd w:id="10"/>
      <w:r>
        <w:rPr>
          <w:rFonts w:ascii="Times New Roman" w:hAnsi="Times New Roman" w:eastAsia="黑体" w:cs="Times New Roman"/>
          <w:b/>
          <w:bCs/>
          <w:sz w:val="32"/>
          <w:szCs w:val="32"/>
        </w:rPr>
        <w:t>《</w:t>
      </w:r>
      <w:r>
        <w:rPr>
          <w:rFonts w:hint="eastAsia" w:ascii="Times New Roman" w:hAnsi="Times New Roman" w:eastAsia="黑体" w:cs="Times New Roman"/>
          <w:b/>
          <w:bCs/>
          <w:sz w:val="32"/>
          <w:szCs w:val="32"/>
        </w:rPr>
        <w:t>外科植入物 可降解镁锌锰合金骨植入材料</w:t>
      </w:r>
      <w:r>
        <w:rPr>
          <w:rFonts w:ascii="Times New Roman" w:hAnsi="Times New Roman" w:eastAsia="黑体" w:cs="Times New Roman"/>
          <w:b/>
          <w:bCs/>
          <w:sz w:val="32"/>
          <w:szCs w:val="32"/>
        </w:rPr>
        <w:t>》</w:t>
      </w:r>
    </w:p>
    <w:p w14:paraId="5C491C3B">
      <w:pPr>
        <w:snapToGrid w:val="0"/>
        <w:spacing w:line="360" w:lineRule="auto"/>
        <w:jc w:val="center"/>
        <w:rPr>
          <w:rFonts w:ascii="Times New Roman" w:hAnsi="Times New Roman" w:eastAsia="黑体" w:cs="Times New Roman"/>
          <w:b/>
          <w:bCs/>
          <w:sz w:val="32"/>
          <w:szCs w:val="32"/>
        </w:rPr>
      </w:pPr>
      <w:r>
        <w:rPr>
          <w:rFonts w:ascii="Times New Roman" w:hAnsi="Times New Roman" w:eastAsia="黑体" w:cs="Times New Roman"/>
          <w:b/>
          <w:bCs/>
          <w:sz w:val="32"/>
          <w:szCs w:val="32"/>
        </w:rPr>
        <w:t>编制说明</w:t>
      </w:r>
    </w:p>
    <w:p w14:paraId="0754C1E9">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一、工作简况</w:t>
      </w:r>
    </w:p>
    <w:p w14:paraId="1715C13D">
      <w:pPr>
        <w:snapToGrid w:val="0"/>
        <w:spacing w:before="156" w:beforeLines="50" w:after="156" w:afterLines="50" w:line="360" w:lineRule="auto"/>
        <w:rPr>
          <w:rFonts w:ascii="Times New Roman" w:hAnsi="Times New Roman" w:eastAsia="仿宋" w:cs="Times New Roman"/>
          <w:sz w:val="28"/>
          <w:szCs w:val="28"/>
        </w:rPr>
      </w:pPr>
      <w:r>
        <w:rPr>
          <w:rFonts w:ascii="Times New Roman" w:hAnsi="Times New Roman" w:eastAsia="仿宋" w:cs="Times New Roman"/>
          <w:sz w:val="28"/>
          <w:szCs w:val="28"/>
        </w:rPr>
        <w:t>（一）任务来源</w:t>
      </w:r>
    </w:p>
    <w:p w14:paraId="5585A17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可降解生物植入材料是先进医用材料中最具代表性的产品，在心血管支架、组织工程材料、骨科植入材料等临床应用上需求量大，已经成为尖端水平医用材料研究和开发的代表性方向。为了引导镁合金骨植入材料的成熟化和市场化，推动我国可降解镁锌锰合金植入材料技术与应用的发展，湖南省中大特冶新材料研究院有限公司、中南大学依托2025年度湖南省重点项目“新型可降解镁锌锰合金骨植入医用材料制备与应用技术研发”中可降解镁锌锰合金植入材料的研发基础，完成了对新型Mg-Zn-Mn可降解镁锌锰合金骨植入材料力学性能与生物安全性能的研究，制定了可降解镁锌锰合金骨植入材料技术标准，并由湖南省中大特冶新材料研究院有限公司联合华融科创生物科技（天津）有限公司共同开展了《外科植入物 可降解镁锌锰合金骨植入材料》团体标准的制定。</w:t>
      </w:r>
    </w:p>
    <w:p w14:paraId="5EA6E1DA">
      <w:pPr>
        <w:snapToGrid w:val="0"/>
        <w:spacing w:before="156" w:beforeLines="50" w:after="156" w:afterLines="50" w:line="360" w:lineRule="auto"/>
        <w:rPr>
          <w:rFonts w:ascii="Times New Roman" w:hAnsi="Times New Roman" w:eastAsia="仿宋" w:cs="Times New Roman"/>
          <w:sz w:val="28"/>
          <w:szCs w:val="28"/>
        </w:rPr>
      </w:pPr>
      <w:r>
        <w:rPr>
          <w:rFonts w:ascii="Times New Roman" w:hAnsi="Times New Roman" w:eastAsia="仿宋" w:cs="Times New Roman"/>
          <w:sz w:val="28"/>
          <w:szCs w:val="28"/>
        </w:rPr>
        <w:t>（二）标准起草单位、参编单位</w:t>
      </w:r>
    </w:p>
    <w:p w14:paraId="7972095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w:t>
      </w:r>
      <w:r>
        <w:rPr>
          <w:rFonts w:ascii="Times New Roman" w:hAnsi="Times New Roman" w:eastAsia="仿宋" w:cs="Times New Roman"/>
          <w:sz w:val="28"/>
          <w:szCs w:val="28"/>
        </w:rPr>
        <w:t>标准起草单位</w:t>
      </w:r>
      <w:r>
        <w:rPr>
          <w:rFonts w:hint="eastAsia" w:ascii="Times New Roman" w:hAnsi="Times New Roman" w:eastAsia="仿宋" w:cs="Times New Roman"/>
          <w:sz w:val="28"/>
          <w:szCs w:val="28"/>
        </w:rPr>
        <w:t>为湖南省中大特冶新材料研究院有限公司，参编单位为</w:t>
      </w:r>
      <w:bookmarkStart w:id="0" w:name="OLE_LINK2"/>
      <w:r>
        <w:rPr>
          <w:rFonts w:hint="eastAsia" w:ascii="Times New Roman" w:hAnsi="Times New Roman" w:eastAsia="仿宋" w:cs="Times New Roman"/>
          <w:sz w:val="28"/>
          <w:szCs w:val="28"/>
        </w:rPr>
        <w:t>华融科创生物科技（天津）有限公司</w:t>
      </w:r>
      <w:bookmarkEnd w:id="0"/>
      <w:r>
        <w:rPr>
          <w:rFonts w:hint="eastAsia" w:ascii="Times New Roman" w:hAnsi="Times New Roman" w:eastAsia="仿宋" w:cs="Times New Roman"/>
          <w:sz w:val="28"/>
          <w:szCs w:val="28"/>
        </w:rPr>
        <w:t>、中南大学、上海市第六人民医院、天津医院。</w:t>
      </w:r>
    </w:p>
    <w:p w14:paraId="71CFC1A8">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负责起草的单位简介如下：</w:t>
      </w:r>
    </w:p>
    <w:p w14:paraId="64D21841">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（1）湖南省中大特冶新材料研究院有限公司</w:t>
      </w:r>
    </w:p>
    <w:p w14:paraId="7893B5F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湖南省中大特冶新材料研究院有限公司依托中南大学先进的材料研发、制备和产业化基础，专业致力于生物医用材料、高纯金属和合金靶材、电池储能材料、轻质高强镁/铝合金、含能材料等研发及生产,在有色金属加工和粉末冶金技术领域有独创优势，与国内知名高校和科研院所建立良好合作关系，研制开发的新材料生产技术和产品质量达到国内领先水平。</w:t>
      </w:r>
    </w:p>
    <w:p w14:paraId="1FD55091">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研究院与中南大学、湘雅医院等高校和科研院所有长期技术合作。与国内外多家企业建立良好的合作关系，与客户共同进步。</w:t>
      </w:r>
    </w:p>
    <w:p w14:paraId="5717A17B">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（2）华融科创生物科技（天津）有限公司</w:t>
      </w:r>
    </w:p>
    <w:p w14:paraId="5BF25C2E">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科创医疗集团成立于2006年，以“让手术更简单，让生活更美好”为使命，以“不断提升专业服务和持续研发科技创新”为企业发展理念，扎根于医疗外科领域，多年来持续投入自主研发创新与专业团队培养，力求将中国高端制造医疗器械带向世界。集团拥有全球领先的研发技术、国际一流的研发团队，拥有自主知识产权专利数十项，数千平方米国际领先研发实验室及十万级洁净生产基地。科创医疗集团现有5家子公司：华融科创生物科技（天津）有限公司、创美得医疗器械（天津）有限公司、华融科创（北京）、科创医疗生物科技（香港）有限公司、科创云学汇（北京）咨询服务公司，累计注册资金达一个亿。历经15年跃迁，现已发展成为集产、研、销于一体的国家高新技术医疗企业。</w:t>
      </w:r>
    </w:p>
    <w:p w14:paraId="7BC729C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华融科创生物科技有限公司为生产及研发中心，坐落于天津滨海新区，公司拥有数千平米的万级洁净车间，配有国际领先的生产研发设备，现已通过GMP和ISO13485国际质量认证，达到国际医疗生产企业的质量标准，连续几年获“天津市药监局颁发的《质量管理A级企业》荣誉称号。公司拥有一支“高、精、尖”的海归专家研发团队，累计获得数十项独家发明专利和实用新型专利，成功研发了端端血管吻合，端侧血管吻合，近段血管吻合装置等全系列血管吻合独家产品，以及血管临时阻断夹，血管永久阻断夹等一系列血管吻合全解决方案相关产品，获得了“科技强国创新企业培育工程科技创新成果奖”、“中国大健康产业科技创新成果奖”等一系列创新大奖，力争引领血管吻合技术，成为全球血管吻合的领跑者！</w:t>
      </w:r>
    </w:p>
    <w:p w14:paraId="04B2AE0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（3）中南大学</w:t>
      </w:r>
    </w:p>
    <w:p w14:paraId="55CB4225">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中南大学（Central South University），是教育部直属全国重点大学，是“双一流”“985工程”“211工程”建设高校。入选教育部“强基计划”首批试点高校，八年制医学教育（医学博士学位）试点高校，是全国第一所为军队培养现役军官指技合一硕士研究生的高校。校训为“知行合一、经世致用”。</w:t>
      </w:r>
    </w:p>
    <w:p w14:paraId="71B56C17">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学校占地面积317万平方米，拥有11大学科门类，设有104个本科专业，其中国家级一流本科专业建设点72个，国家级一流本科课程84门，国家级课程思政示范项目4项，一级学科博士学位授权点43个，一级学科硕士学位授权点47个，一级学科国家重点学科6个，博士后科研流动站32个，19个学科进入基本科学指标全球前百分之一，其中材料科学、工程学、临床医学、计算机科学、化学、药理学与毒理学、环境科学与生态学居全球前千分之一，材料科学进入全球前万分之一。</w:t>
      </w:r>
    </w:p>
    <w:p w14:paraId="5800A8B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中南大学在可降解镁锌锰合金生物医用骨植入材料上的研究与开发，整合了中南大学最具优势的“材料学”和“医学”两个一级学科研究力量，依托材料科学与工程学院、湘雅三个医院、粉末冶金国家重点实验室等单位，建立了湖南省骨科生物医用材料工程实验室、湖南省生物材料学会、湖南省骨科生物医用材料研究中心、中南大学骨科生物医用材料研究所，利用上述专门针对骨科医用材料的研究平台，开展材料学、生物学、医学研究，参加本项目研究的人员涵盖材料学、医学、分子生物学等领域，研究工作条件完备，具有很强的针对镁合金生物医用材料研究与开发优势。</w:t>
      </w:r>
    </w:p>
    <w:p w14:paraId="057F6E2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（4）上海市第六人民医院</w:t>
      </w:r>
    </w:p>
    <w:p w14:paraId="0B437112">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上海市第六人民医院始创于1904年，其前身为上海西人隔离医院，是一家历经百余年积淀的大型三级甲等综合医院。2002年成为上海交通大学附属医院。2021年2月原上海市第六人民医院东院整建制正式并入上海市第六人民医院，开启了两院一体化高质量发展的新征程。2022年成为上海交通大学医学院附属第六人民医院。目前，医院设有徐汇、临港两个院区；核定床位2556张（批复床位3426张），其中徐汇院区1956张（批复床位2226张）、临港院区600张（批复床位1200张）；临床医技科室51个。近五年来，医院年门急诊量最高突破530万人次，年出院人次最高达到近18万人次，年住院手术最高超过12万人次。</w:t>
      </w:r>
    </w:p>
    <w:p w14:paraId="3555677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医院深入贯彻《关于加强公立医院党的建设工作的意见》精神，切实加强党对公立医院的领导，始终坚持公立医院实行党委领导下的院长负责制。连续六届19年蝉联“全国文明单位”荣誉称号，连续18年上海市级医院绩效考核全A，是上海市公立医院高质量发展辅导类试点单位。在国家三级公立医院绩效考核中最高排名33名；在中国医院科技量值排行榜中最高排名25名；在复旦大学医院管理研究所发布的最佳医院排行榜中最高排名20名，骨科、内分泌代谢科、耳鼻咽喉头颈外科、超声医学科稳居全国前十位；在医疗机构NATURE指数中最高全球排名第66名，在《中国医院创新转化排行榜》中最高综合排名第12名；荣获上海市医学创新转化指数十强医疗机构、上海市医学创新转化指数综合十强医疗机构；获批上海市科技成果转化创新改革试点单位、上海市科学技术委员会专业化技术转移示范机构。医院积极贯彻落实国家深化医疗体制改革政策，践行医疗联合体探索与实践，2000年开启上海市第六人民医院医疗集团宏伟征程，实现了集团医院机构能级、医疗服务、学科建设、社会认可“四提升”。医院积极落实国家战略助力健康中国建设，包括分别与福建省人民政府、安徽省人民政府合作共建“大专科、小综合”的上海市第六人民医院福建、安徽医院，建设国家创伤区域医疗中心；夯实“六院-海南”战略合作基础，合作共建海口市骨科与糖尿病医院等。</w:t>
      </w:r>
    </w:p>
    <w:p w14:paraId="0A00048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（5）天津医院</w:t>
      </w:r>
    </w:p>
    <w:p w14:paraId="36A24363">
      <w:pPr>
        <w:snapToGri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天津市天津医院是一所以骨科为重点，以现代医学和中西医结合治疗骨科疾病为特色的融医、教、研为一体的三级甲等专科医院，是全国著名的骨科基地之一，现增名“天津骨科医院”。天津医院及其前身始建于二十世纪四十年代初期，在中国骨科先驱方先之教授创建的天津骨科医院的基础上继承和发展起来的。全院建筑面积54000平方米，开设病床717张，其中骨科病床680张。《</w:t>
      </w:r>
      <w:r>
        <w:fldChar w:fldCharType="begin"/>
      </w:r>
      <w:r>
        <w:instrText xml:space="preserve">HYPERLINK "https://baike.baidu.com/item/%E4%B8%AD%E5%8D%8E%E9%AA%A8%E7%A7%91%E6%9D%82%E5%BF%97/2369634?fromModule=lemma_inlink" \t "_blank"</w:instrText>
      </w:r>
      <w:r>
        <w:fldChar w:fldCharType="separate"/>
      </w:r>
      <w:r>
        <w:rPr>
          <w:rStyle w:val="8"/>
          <w:rFonts w:ascii="Times New Roman" w:hAnsi="Times New Roman" w:eastAsia="仿宋" w:cs="Times New Roman"/>
          <w:sz w:val="28"/>
          <w:szCs w:val="28"/>
        </w:rPr>
        <w:t>中华骨科杂志</w:t>
      </w:r>
      <w:r>
        <w:fldChar w:fldCharType="end"/>
      </w:r>
      <w:r>
        <w:rPr>
          <w:rFonts w:ascii="Times New Roman" w:hAnsi="Times New Roman" w:eastAsia="仿宋" w:cs="Times New Roman"/>
          <w:sz w:val="28"/>
          <w:szCs w:val="28"/>
        </w:rPr>
        <w:t>》编辑部、受国家卫生部委托承办的全国骨科医师进修班、天津市中西医结合骨科研究所、天津市交通医学研究所、天津市创伤急救中心、天津市关节外科中心均设在该院内。全院拥有1100余人的专业技术队伍、高级专业人员120余人，国务院授衔的有突出贡献的中青年专家3人，享受政府特殊津贴人员23人，研究生导师11人，研究生30人，重点学科带头人22人。该院设有创伤骨科、脊柱外科、骨关节病科、小儿骨科、手显微外科、骨肿瘤科、关节镜科、天津市尚天裕中西医结合骨伤治疗中心、国际诊疗中心及内、外科等35个临床医技科室和骨科康复中心。</w:t>
      </w:r>
    </w:p>
    <w:p w14:paraId="2136DC68">
      <w:pPr>
        <w:snapToGrid w:val="0"/>
        <w:spacing w:before="156" w:beforeLines="50" w:after="156" w:afterLines="50" w:line="360" w:lineRule="auto"/>
        <w:rPr>
          <w:rFonts w:ascii="Times New Roman" w:hAnsi="Times New Roman" w:eastAsia="仿宋" w:cs="Times New Roman"/>
          <w:sz w:val="28"/>
          <w:szCs w:val="28"/>
        </w:rPr>
      </w:pPr>
      <w:r>
        <w:rPr>
          <w:rFonts w:ascii="Times New Roman" w:hAnsi="Times New Roman" w:eastAsia="仿宋" w:cs="Times New Roman"/>
          <w:sz w:val="28"/>
          <w:szCs w:val="28"/>
        </w:rPr>
        <w:t>（三）主要起草人（说明标准主要起草人及其所做的主要工作等）</w:t>
      </w:r>
    </w:p>
    <w:p w14:paraId="0EFAF7C0">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主要起草人余琨教授为《外科植入物 可降解镁锌锰合金骨植入材料》标准制定总负责人，负责标准起草小组的会议召集，工作计划制定，综合研究及具体任务分解等工作；主要起草人宋觉敏，负责手机整理数据信息，制定标准讨论稿及编制说明；主要起草人张忠英，负责协调各项验证试验工作；主要起草人颜阳、潘炳辉，负责开展各项成分、外观、力学性能、材料降解性能等性能验证试验，提供相关数据信息；主要起草人郑宪友、孙杰、赵笑寒、陈绪卓，负责结合骨科植入应用状况，提供降解性能、生物相容性等性能验证，提供相关数据信息。</w:t>
      </w:r>
    </w:p>
    <w:p w14:paraId="0E1D66E3">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二、制定标准的必要性和意义</w:t>
      </w:r>
    </w:p>
    <w:p w14:paraId="4A7515C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新型生物医用材料是材料学和医学两大基础领域共同大力发展的交叉研究方向，目前已经成为全球各国社会、经济发展的重大需求，其研究成果综合体现了各国在医学、材料学等学科领域的科学技术水平。</w:t>
      </w:r>
    </w:p>
    <w:p w14:paraId="74C4B9F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发达国家十分重视生物医用材料科学技术及产业的发展，在生物材料领域，美、欧和日占据了全球市场份额</w:t>
      </w:r>
      <w:r>
        <w:rPr>
          <w:rFonts w:ascii="Times New Roman" w:hAnsi="Times New Roman" w:eastAsia="仿宋" w:cs="Times New Roman"/>
          <w:sz w:val="28"/>
          <w:szCs w:val="28"/>
        </w:rPr>
        <w:t>75%</w:t>
      </w:r>
      <w:r>
        <w:rPr>
          <w:rFonts w:hint="eastAsia" w:ascii="Times New Roman" w:hAnsi="Times New Roman" w:eastAsia="仿宋" w:cs="Times New Roman"/>
          <w:sz w:val="28"/>
          <w:szCs w:val="28"/>
        </w:rPr>
        <w:t>以上的绝对优势。我国也十分重视医用材料科学与产业的发展，将其列入了</w:t>
      </w:r>
      <w:r>
        <w:rPr>
          <w:rFonts w:ascii="Times New Roman" w:hAnsi="Times New Roman" w:eastAsia="仿宋" w:cs="Times New Roman"/>
          <w:sz w:val="28"/>
          <w:szCs w:val="28"/>
        </w:rPr>
        <w:t>“</w:t>
      </w:r>
      <w:r>
        <w:rPr>
          <w:rFonts w:hint="eastAsia" w:ascii="Times New Roman" w:hAnsi="Times New Roman" w:eastAsia="仿宋" w:cs="Times New Roman"/>
          <w:sz w:val="28"/>
          <w:szCs w:val="28"/>
        </w:rPr>
        <w:t>十四五</w:t>
      </w:r>
      <w:r>
        <w:rPr>
          <w:rFonts w:ascii="Times New Roman" w:hAnsi="Times New Roman" w:eastAsia="仿宋" w:cs="Times New Roman"/>
          <w:sz w:val="28"/>
          <w:szCs w:val="28"/>
        </w:rPr>
        <w:t>”</w:t>
      </w:r>
      <w:r>
        <w:rPr>
          <w:rFonts w:hint="eastAsia" w:ascii="Times New Roman" w:hAnsi="Times New Roman" w:eastAsia="仿宋" w:cs="Times New Roman"/>
          <w:sz w:val="28"/>
          <w:szCs w:val="28"/>
        </w:rPr>
        <w:t>重点研发计划项目及揭榜挂帅等多项国家计划。但是，我国</w:t>
      </w:r>
      <w:r>
        <w:rPr>
          <w:rFonts w:ascii="Times New Roman" w:hAnsi="Times New Roman" w:eastAsia="仿宋" w:cs="Times New Roman"/>
          <w:sz w:val="28"/>
          <w:szCs w:val="28"/>
        </w:rPr>
        <w:t>14</w:t>
      </w:r>
      <w:r>
        <w:rPr>
          <w:rFonts w:hint="eastAsia" w:ascii="Times New Roman" w:hAnsi="Times New Roman" w:eastAsia="仿宋" w:cs="Times New Roman"/>
          <w:sz w:val="28"/>
          <w:szCs w:val="28"/>
        </w:rPr>
        <w:t>亿人口对生物医用材料的巨大需求与目前医用材料的应用现状处于极不对称状态。因此，以可降解医用植入材料研发与应用为突破，推动生物医用材料研制的关键技术和产业发展，是医学和材料学两大基础学科理论和实践发展的既定方向，对我国医用材料产业的前景至关重要。</w:t>
      </w:r>
    </w:p>
    <w:p w14:paraId="68B8DAB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可降解生物植入材料是先进医用材料最具代表性的产品。在心血管支架、组织工程材料、骨科植入材料等临床应用上，需求量大，成为医用材料的研究和开发尖端水平的代表性方向。目前临床在用的金属或陶瓷基医用植入材料，在人体内无法降解，常常需进行二次手术拆除，并存在一些缺陷，如金属类的钛合金、不锈钢等，与天然骨的弹性模量不匹配会引起应力屏蔽效应，不利于自然骨的生长。镁合金作为新型医用植入材料，具有良好的生物相容性，尤其是可以在人体 内获得降解，参与代谢最终排出体外，不产生危害。同时，镁是骨生长的必需元素，具有密度、模量与人骨吻合的物理力学性能，可以被加工成各种形状作为植入材料使用，在心血管支架和骨修复材料中均具有良好的应用潜力。</w:t>
      </w:r>
    </w:p>
    <w:p w14:paraId="0EA541E7">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可降解镁锌锰合金医用植入材料与传统的惰性金属医用材料相比，其优势在于镁的电极电位为</w:t>
      </w:r>
      <w:r>
        <w:rPr>
          <w:rFonts w:ascii="Times New Roman" w:hAnsi="Times New Roman" w:eastAsia="仿宋" w:cs="Times New Roman"/>
          <w:sz w:val="28"/>
          <w:szCs w:val="28"/>
        </w:rPr>
        <w:t>-2.37V</w:t>
      </w:r>
      <w:r>
        <w:rPr>
          <w:rFonts w:hint="eastAsia" w:ascii="Times New Roman" w:hAnsi="Times New Roman" w:eastAsia="仿宋" w:cs="Times New Roman"/>
          <w:sz w:val="28"/>
          <w:szCs w:val="28"/>
        </w:rPr>
        <w:t>，能够在人体液环境下逐渐降解。而镁是人体所需的仅次于钠、钾、钙的第四大金属元素，其在人体内含量高达</w:t>
      </w:r>
      <w:r>
        <w:rPr>
          <w:rFonts w:ascii="Times New Roman" w:hAnsi="Times New Roman" w:eastAsia="仿宋" w:cs="Times New Roman"/>
          <w:sz w:val="28"/>
          <w:szCs w:val="28"/>
        </w:rPr>
        <w:t>25g</w:t>
      </w:r>
      <w:r>
        <w:rPr>
          <w:rFonts w:hint="eastAsia" w:ascii="Times New Roman" w:hAnsi="Times New Roman" w:eastAsia="仿宋" w:cs="Times New Roman"/>
          <w:sz w:val="28"/>
          <w:szCs w:val="28"/>
        </w:rPr>
        <w:t>，一个成人每天镁元素的摄入量可达</w:t>
      </w:r>
      <w:r>
        <w:rPr>
          <w:rFonts w:ascii="Times New Roman" w:hAnsi="Times New Roman" w:eastAsia="仿宋" w:cs="Times New Roman"/>
          <w:sz w:val="28"/>
          <w:szCs w:val="28"/>
        </w:rPr>
        <w:t>0.7g</w:t>
      </w:r>
      <w:r>
        <w:rPr>
          <w:rFonts w:hint="eastAsia" w:ascii="Times New Roman" w:hAnsi="Times New Roman" w:eastAsia="仿宋" w:cs="Times New Roman"/>
          <w:sz w:val="28"/>
          <w:szCs w:val="28"/>
        </w:rPr>
        <w:t>。所以镁合金降解产物不会对人体造成不良影响，人体正常的新陈代谢即可维持人体内镁离子的平衡。镁合金作为骨植入医用材料的另一个优点在于其弹性模量为</w:t>
      </w:r>
      <w:r>
        <w:rPr>
          <w:rFonts w:ascii="Times New Roman" w:hAnsi="Times New Roman" w:eastAsia="仿宋" w:cs="Times New Roman"/>
          <w:sz w:val="28"/>
          <w:szCs w:val="28"/>
        </w:rPr>
        <w:t>45GPa</w:t>
      </w:r>
      <w:r>
        <w:rPr>
          <w:rFonts w:hint="eastAsia" w:ascii="Times New Roman" w:hAnsi="Times New Roman" w:eastAsia="仿宋" w:cs="Times New Roman"/>
          <w:sz w:val="28"/>
          <w:szCs w:val="28"/>
        </w:rPr>
        <w:t>左右，与人的天然骨的弹性模量接近，不会因为其弹性模量与人骨不匹配而造成应力屏蔽现象，造成骨质疏松或者二次骨折。镁离子被证实具有促进成骨分化，加快骨愈合的作用，所以镁合金医用材料在降解过程中不断释放的镁离子能激活受体的阳离子通道，增强</w:t>
      </w:r>
      <w:r>
        <w:rPr>
          <w:rFonts w:ascii="Times New Roman" w:hAnsi="Times New Roman" w:eastAsia="仿宋" w:cs="Times New Roman"/>
          <w:sz w:val="28"/>
          <w:szCs w:val="28"/>
        </w:rPr>
        <w:t>CGRP</w:t>
      </w:r>
      <w:r>
        <w:rPr>
          <w:rFonts w:hint="eastAsia" w:ascii="Times New Roman" w:hAnsi="Times New Roman" w:eastAsia="仿宋" w:cs="Times New Roman"/>
          <w:sz w:val="28"/>
          <w:szCs w:val="28"/>
        </w:rPr>
        <w:t>基因表达，促进钙的沉积，从而产生促进成骨的作用。</w:t>
      </w:r>
    </w:p>
    <w:p w14:paraId="0F291B8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目前，可降解的镁及镁合金骨钉等骨修复材料，德国和韩国相关产品已经获得欧盟相关认证获得临床应用。我国国产高纯镁骨钉和本项目团队研发的高强度可降解镁锌锰合金骨钉，已经完成基础理创新的研究开发，完成了动物实验并取得良好的应用效果，正在进入人体临床实验阶段，产品具有确切的应用前景，项目可以推进镁合金骨植入材料形成产品样件并实现临床应用，达到国内领先技术水平，成为加速发展生物材料应用的新兴生产力。</w:t>
      </w:r>
    </w:p>
    <w:p w14:paraId="0ED64EA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目前，对于开发的Mg-Zn-Mn可降解镁锌锰合金骨植入材料没有相关的标准，主要参考的是</w:t>
      </w:r>
      <w:bookmarkStart w:id="1" w:name="OLE_LINK1"/>
      <w:r>
        <w:rPr>
          <w:rFonts w:ascii="Times New Roman" w:hAnsi="Times New Roman" w:eastAsia="仿宋" w:cs="Times New Roman"/>
          <w:sz w:val="28"/>
          <w:szCs w:val="28"/>
        </w:rPr>
        <w:t>T</w:t>
      </w:r>
      <w:r>
        <w:rPr>
          <w:rFonts w:hint="eastAsia" w:ascii="Times New Roman" w:hAnsi="Times New Roman" w:eastAsia="仿宋" w:cs="Times New Roman"/>
          <w:sz w:val="28"/>
          <w:szCs w:val="28"/>
        </w:rPr>
        <w:t>/</w:t>
      </w:r>
      <w:r>
        <w:rPr>
          <w:rFonts w:ascii="Times New Roman" w:hAnsi="Times New Roman" w:eastAsia="仿宋" w:cs="Times New Roman"/>
          <w:sz w:val="28"/>
          <w:szCs w:val="28"/>
        </w:rPr>
        <w:t>CSBM 0005-2021</w:t>
      </w:r>
      <w:bookmarkEnd w:id="1"/>
      <w:r>
        <w:rPr>
          <w:rFonts w:ascii="Times New Roman" w:hAnsi="Times New Roman" w:eastAsia="仿宋" w:cs="Times New Roman"/>
          <w:sz w:val="28"/>
          <w:szCs w:val="28"/>
        </w:rPr>
        <w:t>可降解镁锌锰合金热挤压棒材</w:t>
      </w:r>
    </w:p>
    <w:p w14:paraId="32FD4BD2">
      <w:pPr>
        <w:snapToGrid w:val="0"/>
        <w:spacing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和T/CSBM 0033—2023骨接合植入物可降解镁骨钉两个团体标准，但现在可降解镁锌锰合金骨植入骨板与骨钉对于Mg-Zn-Mn可降解镁锌锰合金材料的性能要求与两个团体标准中的要求均存在一些差异，两个团体标准不能有效反映新型Mg-Zn-Mn可降解镁锌锰合金骨植入材料的要求。制定本团体标准能有助于进一步规范新型Mg-Zn-Mn可降解镁锌锰合金骨植入材料研制与生产过程中对化学成分、质量、力学性能、组织结构、降解性能与生物相容性等性能的规范化，也有助于下游客户充分评估新型Mg-Zn-Mn可降解镁锌锰合金骨植入材料的性能要求。</w:t>
      </w:r>
    </w:p>
    <w:p w14:paraId="14C1B3D8">
      <w:pPr>
        <w:snapToGrid w:val="0"/>
        <w:spacing w:line="360" w:lineRule="auto"/>
        <w:ind w:firstLine="480"/>
        <w:rPr>
          <w:rFonts w:ascii="Times New Roman" w:hAnsi="Times New Roman" w:eastAsia="仿宋" w:cs="Times New Roman"/>
          <w:color w:val="EE0000"/>
          <w:sz w:val="28"/>
          <w:szCs w:val="28"/>
        </w:rPr>
      </w:pPr>
      <w:r>
        <w:rPr>
          <w:rFonts w:hint="eastAsia" w:ascii="Times New Roman" w:hAnsi="Times New Roman" w:eastAsia="仿宋" w:cs="Times New Roman"/>
          <w:sz w:val="28"/>
          <w:szCs w:val="28"/>
        </w:rPr>
        <w:t>本标准根据新型Mg-Zn-Mn可降解镁锌锰合金骨植入材料对于相关性能的要求，结合相关国标与团标，进一步提高和细化可降解镁锌锰合金骨植入材料性能技术要求。同时结合企业以及客户的相关要求，从可降解镁锌锰合金骨植入材料的成分化学成分、质量、规格、力学性能、组织结构、降解性能与生物相容性等关键性能上进行严格规范要求。本标准的制定，有利于采用标准化手段对外科植入物可降解镁锌锰合金骨植入材料产品的性能指标进行规范，为新型可降解镁锌锰合金骨植入材料在医用可降解材料领域内使用提供相应的标准依据。</w:t>
      </w:r>
    </w:p>
    <w:p w14:paraId="6EFD48D3">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三、主要起草过程</w:t>
      </w:r>
    </w:p>
    <w:p w14:paraId="724EADA5">
      <w:pPr>
        <w:snapToGrid w:val="0"/>
        <w:spacing w:line="360" w:lineRule="auto"/>
        <w:ind w:firstLine="560" w:firstLineChars="200"/>
        <w:rPr>
          <w:rFonts w:ascii="Times New Roman" w:hAnsi="Times New Roman" w:eastAsia="仿宋" w:cs="Times New Roman"/>
          <w:sz w:val="28"/>
          <w:szCs w:val="28"/>
        </w:rPr>
      </w:pPr>
      <w:bookmarkStart w:id="2" w:name="_Hlk129082114"/>
      <w:r>
        <w:rPr>
          <w:rFonts w:hint="eastAsia" w:ascii="Times New Roman" w:hAnsi="Times New Roman" w:eastAsia="仿宋" w:cs="Times New Roman"/>
          <w:sz w:val="28"/>
          <w:szCs w:val="28"/>
        </w:rPr>
        <w:t>湖南省中大特冶新材料研究院有限公司、华融科创生物科技（天津）有限公司、中南大学等单位一起承担了《外科植入物 可降解镁锌锰合金骨植入材料》团体标准的编制工作，公司组建了相应的团体标准起草小组，明确各自的责任与分工，并按照分工展开工作。在《外科植入物 可降解镁锌锰合金骨植入材料》团体标准制定过程中，起草小组认真查阅有关资料、收集相关数据信息，结合新型可降解镁锌锰合金骨植入材料的产品性能特点，以及相应客户提出的指标要求、相关标准等，进行本团体标准的编制工作。</w:t>
      </w:r>
    </w:p>
    <w:bookmarkEnd w:id="2"/>
    <w:p w14:paraId="52490B0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主要编制过程如下：</w:t>
      </w:r>
    </w:p>
    <w:p w14:paraId="5987F4AE">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02</w:t>
      </w:r>
      <w:r>
        <w:rPr>
          <w:rFonts w:hint="eastAsia" w:ascii="Times New Roman" w:hAnsi="Times New Roman" w:eastAsia="仿宋" w:cs="Times New Roman"/>
          <w:sz w:val="28"/>
          <w:szCs w:val="28"/>
        </w:rPr>
        <w:t>5年3月10日，湖南省中大特冶新材料研究院有限公司、华融科创生物科技（天津）有限公司、中南大学等单位共同确认进行《外科植入物 可降解镁锌锰合金骨植入材料》团体标准立项；</w:t>
      </w:r>
    </w:p>
    <w:p w14:paraId="24DF2C67">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02</w:t>
      </w:r>
      <w:r>
        <w:rPr>
          <w:rFonts w:hint="eastAsia" w:ascii="Times New Roman" w:hAnsi="Times New Roman" w:eastAsia="仿宋" w:cs="Times New Roman"/>
          <w:sz w:val="28"/>
          <w:szCs w:val="28"/>
        </w:rPr>
        <w:t>5年3月17日，湖南省中大特冶新材料研究院有限公司</w:t>
      </w:r>
      <w:r>
        <w:rPr>
          <w:rFonts w:ascii="Times New Roman" w:hAnsi="Times New Roman" w:eastAsia="仿宋" w:cs="Times New Roman"/>
          <w:sz w:val="28"/>
          <w:szCs w:val="28"/>
        </w:rPr>
        <w:t>组织成立标准编制</w:t>
      </w:r>
      <w:r>
        <w:rPr>
          <w:rFonts w:hint="eastAsia" w:ascii="Times New Roman" w:hAnsi="Times New Roman" w:eastAsia="仿宋" w:cs="Times New Roman"/>
          <w:sz w:val="28"/>
          <w:szCs w:val="28"/>
        </w:rPr>
        <w:t>小</w:t>
      </w:r>
      <w:r>
        <w:rPr>
          <w:rFonts w:ascii="Times New Roman" w:hAnsi="Times New Roman" w:eastAsia="仿宋" w:cs="Times New Roman"/>
          <w:sz w:val="28"/>
          <w:szCs w:val="28"/>
        </w:rPr>
        <w:t>组，</w:t>
      </w:r>
      <w:r>
        <w:rPr>
          <w:rFonts w:hint="eastAsia" w:ascii="Times New Roman" w:hAnsi="Times New Roman" w:eastAsia="仿宋" w:cs="Times New Roman"/>
          <w:sz w:val="28"/>
          <w:szCs w:val="28"/>
        </w:rPr>
        <w:t>负责</w:t>
      </w:r>
      <w:r>
        <w:rPr>
          <w:rFonts w:ascii="Times New Roman" w:hAnsi="Times New Roman" w:eastAsia="仿宋" w:cs="Times New Roman"/>
          <w:sz w:val="28"/>
          <w:szCs w:val="28"/>
        </w:rPr>
        <w:t>标准编制工作起草</w:t>
      </w:r>
      <w:r>
        <w:rPr>
          <w:rFonts w:hint="eastAsia" w:ascii="Times New Roman" w:hAnsi="Times New Roman" w:eastAsia="仿宋" w:cs="Times New Roman"/>
          <w:sz w:val="28"/>
          <w:szCs w:val="28"/>
        </w:rPr>
        <w:t>，同时</w:t>
      </w:r>
      <w:r>
        <w:rPr>
          <w:rFonts w:ascii="Times New Roman" w:hAnsi="Times New Roman" w:eastAsia="仿宋" w:cs="Times New Roman"/>
          <w:sz w:val="28"/>
          <w:szCs w:val="28"/>
        </w:rPr>
        <w:t>小组开始积极组织筹备；</w:t>
      </w:r>
    </w:p>
    <w:p w14:paraId="68D14ED4">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02</w:t>
      </w:r>
      <w:r>
        <w:rPr>
          <w:rFonts w:hint="eastAsia" w:ascii="Times New Roman" w:hAnsi="Times New Roman" w:eastAsia="仿宋" w:cs="Times New Roman"/>
          <w:sz w:val="28"/>
          <w:szCs w:val="28"/>
        </w:rPr>
        <w:t>5年4月1</w:t>
      </w:r>
      <w:r>
        <w:rPr>
          <w:rFonts w:ascii="Times New Roman" w:hAnsi="Times New Roman" w:eastAsia="仿宋" w:cs="Times New Roman"/>
          <w:sz w:val="28"/>
          <w:szCs w:val="28"/>
        </w:rPr>
        <w:t>4</w:t>
      </w:r>
      <w:r>
        <w:rPr>
          <w:rFonts w:hint="eastAsia" w:ascii="Times New Roman" w:hAnsi="Times New Roman" w:eastAsia="仿宋" w:cs="Times New Roman"/>
          <w:sz w:val="28"/>
          <w:szCs w:val="28"/>
        </w:rPr>
        <w:t>日，经过近1个月的</w:t>
      </w:r>
      <w:r>
        <w:rPr>
          <w:rFonts w:ascii="Times New Roman" w:hAnsi="Times New Roman" w:eastAsia="仿宋" w:cs="Times New Roman"/>
          <w:sz w:val="28"/>
          <w:szCs w:val="28"/>
        </w:rPr>
        <w:t>组织筹备</w:t>
      </w:r>
      <w:r>
        <w:rPr>
          <w:rFonts w:hint="eastAsia" w:ascii="Times New Roman" w:hAnsi="Times New Roman" w:eastAsia="仿宋" w:cs="Times New Roman"/>
          <w:sz w:val="28"/>
          <w:szCs w:val="28"/>
        </w:rPr>
        <w:t>，确定湖南省中大特冶新材料研究院有限公司、华融科创生物科技（天津）有限公司、中南大学等为</w:t>
      </w:r>
      <w:r>
        <w:rPr>
          <w:rFonts w:ascii="Times New Roman" w:hAnsi="Times New Roman" w:eastAsia="仿宋" w:cs="Times New Roman"/>
          <w:sz w:val="28"/>
          <w:szCs w:val="28"/>
        </w:rPr>
        <w:t>标准起草工作组的成员单位，成立标准起草小组</w:t>
      </w:r>
      <w:r>
        <w:rPr>
          <w:rFonts w:hint="eastAsia" w:ascii="Times New Roman" w:hAnsi="Times New Roman" w:eastAsia="仿宋" w:cs="Times New Roman"/>
          <w:sz w:val="28"/>
          <w:szCs w:val="28"/>
        </w:rPr>
        <w:t>；</w:t>
      </w:r>
    </w:p>
    <w:p w14:paraId="04A5B0F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02</w:t>
      </w:r>
      <w:r>
        <w:rPr>
          <w:rFonts w:hint="eastAsia" w:ascii="Times New Roman" w:hAnsi="Times New Roman" w:eastAsia="仿宋" w:cs="Times New Roman"/>
          <w:sz w:val="28"/>
          <w:szCs w:val="28"/>
        </w:rPr>
        <w:t>5年5月3</w:t>
      </w:r>
      <w:r>
        <w:rPr>
          <w:rFonts w:ascii="Times New Roman" w:hAnsi="Times New Roman" w:eastAsia="仿宋" w:cs="Times New Roman"/>
          <w:sz w:val="28"/>
          <w:szCs w:val="28"/>
        </w:rPr>
        <w:t>0</w:t>
      </w:r>
      <w:r>
        <w:rPr>
          <w:rFonts w:hint="eastAsia" w:ascii="Times New Roman" w:hAnsi="Times New Roman" w:eastAsia="仿宋" w:cs="Times New Roman"/>
          <w:sz w:val="28"/>
          <w:szCs w:val="28"/>
        </w:rPr>
        <w:t>日，</w:t>
      </w:r>
      <w:r>
        <w:rPr>
          <w:rFonts w:ascii="Times New Roman" w:hAnsi="Times New Roman" w:eastAsia="仿宋" w:cs="Times New Roman"/>
          <w:sz w:val="28"/>
          <w:szCs w:val="28"/>
        </w:rPr>
        <w:t>标准起草工作组开始团</w:t>
      </w:r>
      <w:r>
        <w:rPr>
          <w:rFonts w:hint="eastAsia" w:ascii="Times New Roman" w:hAnsi="Times New Roman" w:eastAsia="仿宋" w:cs="Times New Roman"/>
          <w:sz w:val="28"/>
          <w:szCs w:val="28"/>
        </w:rPr>
        <w:t>体</w:t>
      </w:r>
      <w:r>
        <w:rPr>
          <w:rFonts w:ascii="Times New Roman" w:hAnsi="Times New Roman" w:eastAsia="仿宋" w:cs="Times New Roman"/>
          <w:sz w:val="28"/>
          <w:szCs w:val="28"/>
        </w:rPr>
        <w:t>标</w:t>
      </w:r>
      <w:r>
        <w:rPr>
          <w:rFonts w:hint="eastAsia" w:ascii="Times New Roman" w:hAnsi="Times New Roman" w:eastAsia="仿宋" w:cs="Times New Roman"/>
          <w:sz w:val="28"/>
          <w:szCs w:val="28"/>
        </w:rPr>
        <w:t>准</w:t>
      </w:r>
      <w:r>
        <w:rPr>
          <w:rFonts w:ascii="Times New Roman" w:hAnsi="Times New Roman" w:eastAsia="仿宋" w:cs="Times New Roman"/>
          <w:sz w:val="28"/>
          <w:szCs w:val="28"/>
        </w:rPr>
        <w:t>草案编写；</w:t>
      </w:r>
    </w:p>
    <w:p w14:paraId="09489AF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w:t>
      </w:r>
      <w:r>
        <w:rPr>
          <w:rFonts w:ascii="Times New Roman" w:hAnsi="Times New Roman" w:eastAsia="仿宋" w:cs="Times New Roman"/>
          <w:sz w:val="28"/>
          <w:szCs w:val="28"/>
        </w:rPr>
        <w:t>02</w:t>
      </w:r>
      <w:r>
        <w:rPr>
          <w:rFonts w:hint="eastAsia" w:ascii="Times New Roman" w:hAnsi="Times New Roman" w:eastAsia="仿宋" w:cs="Times New Roman"/>
          <w:sz w:val="28"/>
          <w:szCs w:val="28"/>
        </w:rPr>
        <w:t>5年7月15日，湖南省中大特冶新材料研究院有限公司召开第一期团体标准编制小组会议，</w:t>
      </w:r>
      <w:r>
        <w:rPr>
          <w:rFonts w:ascii="Times New Roman" w:hAnsi="Times New Roman" w:eastAsia="仿宋" w:cs="Times New Roman"/>
          <w:sz w:val="28"/>
          <w:szCs w:val="28"/>
        </w:rPr>
        <w:t>针对</w:t>
      </w:r>
      <w:r>
        <w:rPr>
          <w:rFonts w:hint="eastAsia" w:ascii="Times New Roman" w:hAnsi="Times New Roman" w:eastAsia="仿宋" w:cs="Times New Roman"/>
          <w:sz w:val="28"/>
          <w:szCs w:val="28"/>
        </w:rPr>
        <w:t>团体标准</w:t>
      </w:r>
      <w:r>
        <w:rPr>
          <w:rFonts w:ascii="Times New Roman" w:hAnsi="Times New Roman" w:eastAsia="仿宋" w:cs="Times New Roman"/>
          <w:sz w:val="28"/>
          <w:szCs w:val="28"/>
        </w:rPr>
        <w:t>草案进行</w:t>
      </w:r>
      <w:r>
        <w:rPr>
          <w:rFonts w:hint="eastAsia" w:ascii="Times New Roman" w:hAnsi="Times New Roman" w:eastAsia="仿宋" w:cs="Times New Roman"/>
          <w:sz w:val="28"/>
          <w:szCs w:val="28"/>
        </w:rPr>
        <w:t>认真研究与讨论，最终形成征求意见稿；</w:t>
      </w:r>
    </w:p>
    <w:p w14:paraId="6A7004A5">
      <w:pPr>
        <w:snapToGri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color w:val="000000" w:themeColor="text1"/>
          <w:sz w:val="28"/>
          <w:szCs w:val="28"/>
          <w14:textFill>
            <w14:solidFill>
              <w14:schemeClr w14:val="tx1"/>
            </w14:solidFill>
          </w14:textFill>
        </w:rPr>
        <w:t>202</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r>
        <w:rPr>
          <w:rFonts w:ascii="Times New Roman" w:hAnsi="Times New Roman" w:eastAsia="仿宋" w:cs="Times New Roman"/>
          <w:color w:val="000000" w:themeColor="text1"/>
          <w:sz w:val="28"/>
          <w:szCs w:val="28"/>
          <w14:textFill>
            <w14:solidFill>
              <w14:schemeClr w14:val="tx1"/>
            </w14:solidFill>
          </w14:textFill>
        </w:rPr>
        <w:t>年</w:t>
      </w:r>
      <w:r>
        <w:rPr>
          <w:rFonts w:hint="eastAsia" w:ascii="Times New Roman" w:hAnsi="Times New Roman" w:eastAsia="仿宋" w:cs="Times New Roman"/>
          <w:color w:val="000000" w:themeColor="text1"/>
          <w:sz w:val="28"/>
          <w:szCs w:val="28"/>
          <w:lang w:val="en-US" w:eastAsia="zh-CN"/>
          <w14:textFill>
            <w14:solidFill>
              <w14:schemeClr w14:val="tx1"/>
            </w14:solidFill>
          </w14:textFill>
        </w:rPr>
        <w:t>8</w:t>
      </w:r>
      <w:r>
        <w:rPr>
          <w:rFonts w:ascii="Times New Roman" w:hAnsi="Times New Roman" w:eastAsia="仿宋" w:cs="Times New Roman"/>
          <w:color w:val="EE0000"/>
          <w:sz w:val="28"/>
          <w:szCs w:val="28"/>
          <w:highlight w:val="none"/>
        </w:rPr>
        <w:t>月</w:t>
      </w:r>
      <w:r>
        <w:rPr>
          <w:rFonts w:hint="eastAsia" w:ascii="Times New Roman" w:hAnsi="Times New Roman" w:eastAsia="仿宋" w:cs="Times New Roman"/>
          <w:color w:val="EE0000"/>
          <w:sz w:val="28"/>
          <w:szCs w:val="28"/>
          <w:highlight w:val="none"/>
          <w:lang w:val="en-US" w:eastAsia="zh-CN"/>
        </w:rPr>
        <w:t>5</w:t>
      </w:r>
      <w:r>
        <w:rPr>
          <w:rFonts w:ascii="Times New Roman" w:hAnsi="Times New Roman" w:eastAsia="仿宋" w:cs="Times New Roman"/>
          <w:color w:val="EE0000"/>
          <w:sz w:val="28"/>
          <w:szCs w:val="28"/>
          <w:highlight w:val="none"/>
        </w:rPr>
        <w:t>日</w:t>
      </w:r>
      <w:r>
        <w:rPr>
          <w:rFonts w:ascii="Times New Roman" w:hAnsi="Times New Roman" w:eastAsia="仿宋" w:cs="Times New Roman"/>
          <w:sz w:val="28"/>
          <w:szCs w:val="28"/>
        </w:rPr>
        <w:t>，</w:t>
      </w:r>
      <w:r>
        <w:rPr>
          <w:rFonts w:hint="eastAsia" w:ascii="Times New Roman" w:hAnsi="Times New Roman" w:eastAsia="仿宋" w:cs="Times New Roman"/>
          <w:sz w:val="28"/>
          <w:szCs w:val="28"/>
        </w:rPr>
        <w:t>中国生物材料学会</w:t>
      </w:r>
      <w:r>
        <w:rPr>
          <w:rFonts w:ascii="Times New Roman" w:hAnsi="Times New Roman" w:eastAsia="仿宋" w:cs="Times New Roman"/>
          <w:sz w:val="28"/>
          <w:szCs w:val="28"/>
        </w:rPr>
        <w:t>发布征求意见稿</w:t>
      </w:r>
      <w:r>
        <w:rPr>
          <w:rFonts w:hint="eastAsia" w:ascii="Times New Roman" w:hAnsi="Times New Roman" w:eastAsia="仿宋" w:cs="Times New Roman"/>
          <w:sz w:val="28"/>
          <w:szCs w:val="28"/>
          <w:lang w:eastAsia="zh-CN"/>
        </w:rPr>
        <w:t>，</w:t>
      </w:r>
      <w:r>
        <w:rPr>
          <w:rFonts w:hint="eastAsia" w:ascii="Times New Roman" w:hAnsi="Times New Roman" w:eastAsia="仿宋" w:cs="Times New Roman"/>
          <w:sz w:val="28"/>
          <w:szCs w:val="28"/>
          <w:lang w:val="en-US" w:eastAsia="zh-CN"/>
        </w:rPr>
        <w:t>征求意见30天</w:t>
      </w:r>
      <w:r>
        <w:rPr>
          <w:rFonts w:hint="eastAsia" w:ascii="Times New Roman" w:hAnsi="Times New Roman" w:eastAsia="仿宋" w:cs="Times New Roman"/>
          <w:sz w:val="28"/>
          <w:szCs w:val="28"/>
        </w:rPr>
        <w:t>。</w:t>
      </w:r>
    </w:p>
    <w:p w14:paraId="6433CB01">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四、制定标准的原则和依据</w:t>
      </w:r>
    </w:p>
    <w:p w14:paraId="3D465BD0">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的制定一是坚持先进性与实用性相结合、统一性和灵活性相结合、可靠性与经济性相结合的原则，尽可能使标准满足多目标要求；二是充分考虑特定领域对外科植入物新型可降解镁锌锰合金骨植入材料的使用需求，在充分调研交流基础上开展标准编制工作，尽可能使该标准符合实际现状和满足未来发展要求；三是技术创新的基础上，在标准结构、内容及主要技术指标等方面进行技术创新，在标准中充分体现产品的技术特点。</w:t>
      </w:r>
      <w:r>
        <w:rPr>
          <w:rFonts w:ascii="Times New Roman" w:hAnsi="Times New Roman" w:eastAsia="仿宋" w:cs="Times New Roman"/>
          <w:sz w:val="28"/>
          <w:szCs w:val="28"/>
        </w:rPr>
        <w:t xml:space="preserve"> </w:t>
      </w:r>
    </w:p>
    <w:p w14:paraId="75A64C27">
      <w:pPr>
        <w:snapToGrid w:val="0"/>
        <w:spacing w:line="360" w:lineRule="auto"/>
        <w:ind w:firstLine="560" w:firstLineChars="200"/>
        <w:rPr>
          <w:rFonts w:ascii="Times New Roman" w:hAnsi="Times New Roman" w:eastAsia="仿宋" w:cs="Times New Roman"/>
          <w:color w:val="EE0000"/>
          <w:sz w:val="28"/>
          <w:szCs w:val="28"/>
        </w:rPr>
      </w:pPr>
      <w:r>
        <w:rPr>
          <w:rFonts w:hint="eastAsia" w:ascii="Times New Roman" w:hAnsi="Times New Roman" w:eastAsia="仿宋" w:cs="Times New Roman"/>
          <w:sz w:val="28"/>
          <w:szCs w:val="28"/>
        </w:rPr>
        <w:t>本标准按照</w:t>
      </w:r>
      <w:r>
        <w:rPr>
          <w:rFonts w:ascii="Times New Roman" w:hAnsi="Times New Roman" w:eastAsia="仿宋" w:cs="Times New Roman"/>
          <w:sz w:val="28"/>
          <w:szCs w:val="28"/>
        </w:rPr>
        <w:t xml:space="preserve"> </w:t>
      </w:r>
      <w:r>
        <w:rPr>
          <w:rFonts w:hint="eastAsia" w:ascii="Times New Roman" w:hAnsi="Times New Roman" w:eastAsia="仿宋" w:cs="Times New Roman"/>
          <w:sz w:val="28"/>
          <w:szCs w:val="28"/>
        </w:rPr>
        <w:t>GB/T 1.1-2020《标准化工作导则 第1部分：标准化文件的结构和起草规则》给出的规则起草。</w:t>
      </w:r>
      <w:r>
        <w:rPr>
          <w:rFonts w:ascii="Times New Roman" w:hAnsi="Times New Roman" w:eastAsia="仿宋" w:cs="Times New Roman"/>
          <w:color w:val="EE0000"/>
          <w:sz w:val="28"/>
          <w:szCs w:val="28"/>
        </w:rPr>
        <w:t xml:space="preserve"> </w:t>
      </w:r>
    </w:p>
    <w:p w14:paraId="3C581A9E">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五、与</w:t>
      </w:r>
      <w:bookmarkStart w:id="3" w:name="_Hlk129012586"/>
      <w:r>
        <w:rPr>
          <w:rFonts w:ascii="Times New Roman" w:hAnsi="Times New Roman" w:eastAsia="仿宋" w:cs="Times New Roman"/>
          <w:b/>
          <w:bCs/>
          <w:sz w:val="28"/>
          <w:szCs w:val="28"/>
        </w:rPr>
        <w:t>现行有关法律、法规</w:t>
      </w:r>
      <w:bookmarkEnd w:id="3"/>
      <w:r>
        <w:rPr>
          <w:rFonts w:ascii="Times New Roman" w:hAnsi="Times New Roman" w:eastAsia="仿宋" w:cs="Times New Roman"/>
          <w:b/>
          <w:bCs/>
          <w:sz w:val="28"/>
          <w:szCs w:val="28"/>
        </w:rPr>
        <w:t>和标准的关系</w:t>
      </w:r>
    </w:p>
    <w:p w14:paraId="3238C17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外科植入物新型可降解镁锌锰合金骨植入材料是先进医用材料最具代表性的产品，</w:t>
      </w:r>
      <w:r>
        <w:rPr>
          <w:rFonts w:ascii="Times New Roman" w:hAnsi="Times New Roman" w:eastAsia="仿宋" w:cs="Times New Roman"/>
          <w:sz w:val="28"/>
          <w:szCs w:val="28"/>
        </w:rPr>
        <w:t>本</w:t>
      </w:r>
      <w:r>
        <w:rPr>
          <w:rFonts w:hint="eastAsia" w:ascii="Times New Roman" w:hAnsi="Times New Roman" w:eastAsia="仿宋" w:cs="Times New Roman"/>
          <w:sz w:val="28"/>
          <w:szCs w:val="28"/>
        </w:rPr>
        <w:t>团体</w:t>
      </w:r>
      <w:r>
        <w:rPr>
          <w:rFonts w:ascii="Times New Roman" w:hAnsi="Times New Roman" w:eastAsia="仿宋" w:cs="Times New Roman"/>
          <w:sz w:val="28"/>
          <w:szCs w:val="28"/>
        </w:rPr>
        <w:t>标准</w:t>
      </w:r>
      <w:r>
        <w:rPr>
          <w:rFonts w:hint="eastAsia" w:ascii="Times New Roman" w:hAnsi="Times New Roman" w:eastAsia="仿宋" w:cs="Times New Roman"/>
          <w:sz w:val="28"/>
          <w:szCs w:val="28"/>
        </w:rPr>
        <w:t>与现行标准乃至强制性标准并无冲突关系。同时本团体标准按照</w:t>
      </w:r>
      <w:r>
        <w:rPr>
          <w:rFonts w:ascii="Times New Roman" w:hAnsi="Times New Roman" w:eastAsia="仿宋" w:cs="Times New Roman"/>
          <w:sz w:val="28"/>
          <w:szCs w:val="28"/>
        </w:rPr>
        <w:t xml:space="preserve"> GB/T 1.1-2009《标准化工作导则第 1 部分：标准的结构和编写》给出的规则起草</w:t>
      </w:r>
      <w:r>
        <w:rPr>
          <w:rFonts w:hint="eastAsia" w:ascii="Times New Roman" w:hAnsi="Times New Roman" w:eastAsia="仿宋" w:cs="Times New Roman"/>
          <w:sz w:val="28"/>
          <w:szCs w:val="28"/>
        </w:rPr>
        <w:t>，并严格按照相关法律、法规以及标准化编制要求进行，完全符合现行有关法律、法规。</w:t>
      </w:r>
    </w:p>
    <w:p w14:paraId="72622780">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六、标准主要内容说明</w:t>
      </w:r>
    </w:p>
    <w:p w14:paraId="3DEE4E83">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（一）范围</w:t>
      </w:r>
    </w:p>
    <w:p w14:paraId="47DC0A9D">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本标准是制定《外科植入物 可降解镁锌锰合金骨植入材料》团体标准，主要适用于可降解镁锌锰合金骨板、骨钉用的Mg-Zn-Mn镁合金材料的棒材与板材。本标准规定了可降解镁锌锰合金骨植入材料的材料性能要求、试验检测方法、检验规则、包装运输存储等信息。</w:t>
      </w:r>
    </w:p>
    <w:p w14:paraId="32B13E36">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（二）规范性引用文件</w:t>
      </w:r>
    </w:p>
    <w:p w14:paraId="46F72ABE">
      <w:pPr>
        <w:snapToGri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下列文件中的内容通过文中的规范性引用而构成本文必不可少的条款。其中，注日期的引用文件，仅该日期对应的版本使用本文件；不注明日期的引用文件，其最新版本使用于本文件。</w:t>
      </w:r>
    </w:p>
    <w:p w14:paraId="117C7307">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228.1-2021 金属材料 拉伸试验 第一部分：室温试验方法</w:t>
      </w:r>
    </w:p>
    <w:p w14:paraId="6E557FF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5155-2022 镁及镁合金热挤压棒材</w:t>
      </w:r>
    </w:p>
    <w:p w14:paraId="611B68A5">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5154-2022 镁及镁合金板、带材</w:t>
      </w:r>
    </w:p>
    <w:p w14:paraId="738A5F1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20967-2007 无损检测 目视检测 总则</w:t>
      </w:r>
    </w:p>
    <w:p w14:paraId="1E6E53A4">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3354-2018 金属材料室温弹性模量的测定</w:t>
      </w:r>
    </w:p>
    <w:p w14:paraId="098B783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4296-2022 变形镁合金纤维组织检验方法</w:t>
      </w:r>
    </w:p>
    <w:p w14:paraId="4690CF2B">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6519-2024 变形铝、镁合金产品超声波检验方法</w:t>
      </w:r>
    </w:p>
    <w:p w14:paraId="3C688CF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4340.1-2024 金属材料 维氏硬度试验 第1部分：试验方法</w:t>
      </w:r>
    </w:p>
    <w:p w14:paraId="11F5ED74">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13748 镁及镁合金化学分析方法</w:t>
      </w:r>
    </w:p>
    <w:p w14:paraId="22A33450">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10123-2022 金属和合金的腐蚀 基本术语和定义</w:t>
      </w:r>
    </w:p>
    <w:p w14:paraId="6A1AAB3D">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16886.1-2022 医疗器械生物学评价 第1部分：风险管理过程中的评价与试验</w:t>
      </w:r>
    </w:p>
    <w:p w14:paraId="1C283C9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16886.12-2023 医疗器械生物学评价 第12 部分：样品制备与参照材料</w:t>
      </w:r>
    </w:p>
    <w:p w14:paraId="4EAA641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16886.15-2022 医疗器械生物学评价 第15部分：金属与合金降解产物的定性与定量</w:t>
      </w:r>
    </w:p>
    <w:p w14:paraId="79CEDFBB">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16545-2015 金属和合金的腐蚀及腐蚀试样上的腐蚀产物的清除</w:t>
      </w:r>
    </w:p>
    <w:p w14:paraId="106A022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2828.1-2012 计数抽检检验程序 第1部分：按接收质量限（AQL）检索的逐批检验抽样计划</w:t>
      </w:r>
    </w:p>
    <w:p w14:paraId="4CB8B8F1">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GB/T 32792-2016 镁合金加工产品包装、标志、运输、贮存</w:t>
      </w:r>
    </w:p>
    <w:p w14:paraId="06CC7DF1">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（三）材料性能要求</w:t>
      </w:r>
    </w:p>
    <w:p w14:paraId="063B39B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本标准规定了外科植入物新型可降解镁锌锰合金骨植入材料的主要化学成分（如表1所示），规定了其他杂质元素与其质量分数。</w:t>
      </w:r>
    </w:p>
    <w:p w14:paraId="616A2A0D">
      <w:pPr>
        <w:snapToGrid w:val="0"/>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表1 可降解镁锌锰合金化学成分</w:t>
      </w:r>
    </w:p>
    <w:tbl>
      <w:tblPr>
        <w:tblStyle w:val="6"/>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752"/>
        <w:gridCol w:w="951"/>
        <w:gridCol w:w="970"/>
        <w:gridCol w:w="846"/>
        <w:gridCol w:w="846"/>
        <w:gridCol w:w="846"/>
        <w:gridCol w:w="977"/>
        <w:gridCol w:w="951"/>
        <w:gridCol w:w="1086"/>
      </w:tblGrid>
      <w:tr w14:paraId="686B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13" w:type="dxa"/>
            <w:gridSpan w:val="4"/>
            <w:vAlign w:val="center"/>
          </w:tcPr>
          <w:p w14:paraId="69B4E907">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主要成分（质量分数%）</w:t>
            </w:r>
          </w:p>
        </w:tc>
        <w:tc>
          <w:tcPr>
            <w:tcW w:w="5552" w:type="dxa"/>
            <w:gridSpan w:val="6"/>
            <w:vAlign w:val="center"/>
          </w:tcPr>
          <w:p w14:paraId="5C5C9FCC">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杂质（质量分数%）</w:t>
            </w:r>
          </w:p>
        </w:tc>
      </w:tr>
      <w:tr w14:paraId="7A20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14:paraId="77759E16">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元素</w:t>
            </w:r>
          </w:p>
        </w:tc>
        <w:tc>
          <w:tcPr>
            <w:tcW w:w="752" w:type="dxa"/>
            <w:vAlign w:val="center"/>
          </w:tcPr>
          <w:p w14:paraId="763EAED2">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Mg</w:t>
            </w:r>
          </w:p>
        </w:tc>
        <w:tc>
          <w:tcPr>
            <w:tcW w:w="951" w:type="dxa"/>
            <w:vAlign w:val="center"/>
          </w:tcPr>
          <w:p w14:paraId="5DC59FCE">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Zn</w:t>
            </w:r>
          </w:p>
        </w:tc>
        <w:tc>
          <w:tcPr>
            <w:tcW w:w="970" w:type="dxa"/>
            <w:vAlign w:val="center"/>
          </w:tcPr>
          <w:p w14:paraId="019082DF">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Mn</w:t>
            </w:r>
          </w:p>
        </w:tc>
        <w:tc>
          <w:tcPr>
            <w:tcW w:w="846" w:type="dxa"/>
            <w:vAlign w:val="center"/>
          </w:tcPr>
          <w:p w14:paraId="1FF9611B">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Si</w:t>
            </w:r>
          </w:p>
        </w:tc>
        <w:tc>
          <w:tcPr>
            <w:tcW w:w="846" w:type="dxa"/>
            <w:vAlign w:val="center"/>
          </w:tcPr>
          <w:p w14:paraId="3D0F1636">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Al</w:t>
            </w:r>
          </w:p>
        </w:tc>
        <w:tc>
          <w:tcPr>
            <w:tcW w:w="846" w:type="dxa"/>
            <w:vAlign w:val="center"/>
          </w:tcPr>
          <w:p w14:paraId="06D3ECF3">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Fe</w:t>
            </w:r>
          </w:p>
        </w:tc>
        <w:tc>
          <w:tcPr>
            <w:tcW w:w="977" w:type="dxa"/>
            <w:vAlign w:val="center"/>
          </w:tcPr>
          <w:p w14:paraId="0B35E179">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Cu</w:t>
            </w:r>
          </w:p>
        </w:tc>
        <w:tc>
          <w:tcPr>
            <w:tcW w:w="951" w:type="dxa"/>
            <w:vAlign w:val="center"/>
          </w:tcPr>
          <w:p w14:paraId="2D17A577">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Ni</w:t>
            </w:r>
          </w:p>
        </w:tc>
        <w:tc>
          <w:tcPr>
            <w:tcW w:w="1086" w:type="dxa"/>
            <w:vAlign w:val="center"/>
          </w:tcPr>
          <w:p w14:paraId="7F339D25">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其他合计</w:t>
            </w:r>
          </w:p>
        </w:tc>
      </w:tr>
      <w:tr w14:paraId="5E48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0" w:type="dxa"/>
            <w:vAlign w:val="center"/>
          </w:tcPr>
          <w:p w14:paraId="4D3E6358">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含量</w:t>
            </w:r>
          </w:p>
        </w:tc>
        <w:tc>
          <w:tcPr>
            <w:tcW w:w="752" w:type="dxa"/>
            <w:vAlign w:val="center"/>
          </w:tcPr>
          <w:p w14:paraId="6D7613FD">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余量</w:t>
            </w:r>
          </w:p>
        </w:tc>
        <w:tc>
          <w:tcPr>
            <w:tcW w:w="951" w:type="dxa"/>
            <w:vAlign w:val="center"/>
          </w:tcPr>
          <w:p w14:paraId="65E9B5C3">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w:t>
            </w:r>
            <w:r>
              <w:rPr>
                <w:rFonts w:hint="eastAsia" w:ascii="Times New Roman" w:hAnsi="Times New Roman" w:eastAsia="宋体" w:cs="Times New Roman"/>
                <w:kern w:val="0"/>
                <w:sz w:val="21"/>
                <w:szCs w:val="21"/>
              </w:rPr>
              <w:t>1</w:t>
            </w:r>
            <w:r>
              <w:rPr>
                <w:rFonts w:ascii="Times New Roman" w:hAnsi="Times New Roman" w:eastAsia="宋体" w:cs="Times New Roman"/>
                <w:kern w:val="0"/>
                <w:sz w:val="21"/>
                <w:szCs w:val="21"/>
              </w:rPr>
              <w:t>~</w:t>
            </w:r>
            <w:r>
              <w:rPr>
                <w:rFonts w:hint="eastAsia" w:ascii="Times New Roman" w:hAnsi="Times New Roman" w:eastAsia="宋体" w:cs="Times New Roman"/>
                <w:kern w:val="0"/>
                <w:sz w:val="21"/>
                <w:szCs w:val="21"/>
              </w:rPr>
              <w:t>6</w:t>
            </w:r>
          </w:p>
        </w:tc>
        <w:tc>
          <w:tcPr>
            <w:tcW w:w="970" w:type="dxa"/>
            <w:vAlign w:val="center"/>
          </w:tcPr>
          <w:p w14:paraId="51EEE68F">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w:t>
            </w:r>
            <w:r>
              <w:rPr>
                <w:rFonts w:hint="eastAsia" w:ascii="Times New Roman" w:hAnsi="Times New Roman" w:eastAsia="宋体" w:cs="Times New Roman"/>
                <w:kern w:val="0"/>
                <w:sz w:val="21"/>
                <w:szCs w:val="21"/>
              </w:rPr>
              <w:t>1</w:t>
            </w:r>
            <w:r>
              <w:rPr>
                <w:rFonts w:ascii="Times New Roman" w:hAnsi="Times New Roman" w:eastAsia="宋体" w:cs="Times New Roman"/>
                <w:kern w:val="0"/>
                <w:sz w:val="21"/>
                <w:szCs w:val="21"/>
              </w:rPr>
              <w:t>~</w:t>
            </w:r>
            <w:r>
              <w:rPr>
                <w:rFonts w:hint="eastAsia" w:ascii="Times New Roman" w:hAnsi="Times New Roman" w:eastAsia="宋体" w:cs="Times New Roman"/>
                <w:kern w:val="0"/>
                <w:sz w:val="21"/>
                <w:szCs w:val="21"/>
              </w:rPr>
              <w:t>3</w:t>
            </w:r>
          </w:p>
        </w:tc>
        <w:tc>
          <w:tcPr>
            <w:tcW w:w="846" w:type="dxa"/>
            <w:vAlign w:val="center"/>
          </w:tcPr>
          <w:p w14:paraId="550FEB4B">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≤0.01</w:t>
            </w:r>
          </w:p>
        </w:tc>
        <w:tc>
          <w:tcPr>
            <w:tcW w:w="846" w:type="dxa"/>
            <w:vAlign w:val="center"/>
          </w:tcPr>
          <w:p w14:paraId="5EC272F0">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≤0.01</w:t>
            </w:r>
          </w:p>
        </w:tc>
        <w:tc>
          <w:tcPr>
            <w:tcW w:w="846" w:type="dxa"/>
            <w:vAlign w:val="center"/>
          </w:tcPr>
          <w:p w14:paraId="64C04118">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≤0.01</w:t>
            </w:r>
          </w:p>
        </w:tc>
        <w:tc>
          <w:tcPr>
            <w:tcW w:w="977" w:type="dxa"/>
            <w:vAlign w:val="center"/>
          </w:tcPr>
          <w:p w14:paraId="3E8E22BD">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≤0.002</w:t>
            </w:r>
          </w:p>
        </w:tc>
        <w:tc>
          <w:tcPr>
            <w:tcW w:w="951" w:type="dxa"/>
            <w:vAlign w:val="center"/>
          </w:tcPr>
          <w:p w14:paraId="6DD79183">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≤0.001</w:t>
            </w:r>
          </w:p>
        </w:tc>
        <w:tc>
          <w:tcPr>
            <w:tcW w:w="1086" w:type="dxa"/>
            <w:vAlign w:val="center"/>
          </w:tcPr>
          <w:p w14:paraId="01F63B2A">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≤0.05</w:t>
            </w:r>
          </w:p>
        </w:tc>
      </w:tr>
    </w:tbl>
    <w:p w14:paraId="5D000CF4">
      <w:pPr>
        <w:snapToGrid w:val="0"/>
        <w:spacing w:line="360" w:lineRule="auto"/>
        <w:ind w:firstLine="560" w:firstLineChars="200"/>
        <w:rPr>
          <w:rFonts w:ascii="Times New Roman" w:hAnsi="Times New Roman" w:eastAsia="仿宋" w:cs="Times New Roman"/>
          <w:sz w:val="28"/>
          <w:szCs w:val="28"/>
        </w:rPr>
      </w:pPr>
    </w:p>
    <w:p w14:paraId="51D87635">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主要规格（如表2所示），并规定了相关材料的允许偏差（如表3所示），同时本标准根据客户需求的产品要求规定了相应材料的标记规则，产品标记应按产品名称、牌号、状态和规格的顺序表示。</w:t>
      </w:r>
    </w:p>
    <w:p w14:paraId="190C6D92">
      <w:pPr>
        <w:snapToGrid w:val="0"/>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表2 可降解镁锌锰合金材料状态及规格</w:t>
      </w:r>
    </w:p>
    <w:tbl>
      <w:tblPr>
        <w:tblStyle w:val="6"/>
        <w:tblW w:w="51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2040"/>
        <w:gridCol w:w="1748"/>
        <w:gridCol w:w="844"/>
        <w:gridCol w:w="947"/>
        <w:gridCol w:w="1994"/>
      </w:tblGrid>
      <w:tr w14:paraId="1C07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restart"/>
            <w:vAlign w:val="center"/>
          </w:tcPr>
          <w:p w14:paraId="4F138283">
            <w:pPr>
              <w:snapToGrid w:val="0"/>
              <w:spacing w:line="360" w:lineRule="auto"/>
              <w:jc w:val="center"/>
              <w:rPr>
                <w:rFonts w:ascii="Times New Roman" w:hAnsi="Times New Roman" w:eastAsia="宋体" w:cs="Times New Roman"/>
                <w:kern w:val="0"/>
                <w:sz w:val="21"/>
                <w:szCs w:val="21"/>
              </w:rPr>
            </w:pPr>
            <w:bookmarkStart w:id="4" w:name="_Hlk201677261"/>
            <w:r>
              <w:rPr>
                <w:rFonts w:hint="eastAsia" w:ascii="Times New Roman" w:hAnsi="Times New Roman" w:eastAsia="宋体" w:cs="Times New Roman"/>
                <w:kern w:val="0"/>
                <w:sz w:val="21"/>
                <w:szCs w:val="21"/>
              </w:rPr>
              <w:t>材料形态</w:t>
            </w:r>
          </w:p>
        </w:tc>
        <w:tc>
          <w:tcPr>
            <w:tcW w:w="1168" w:type="pct"/>
            <w:vMerge w:val="restart"/>
            <w:vAlign w:val="center"/>
          </w:tcPr>
          <w:p w14:paraId="3A82BB93">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供应状态</w:t>
            </w:r>
          </w:p>
        </w:tc>
        <w:tc>
          <w:tcPr>
            <w:tcW w:w="3168" w:type="pct"/>
            <w:gridSpan w:val="4"/>
            <w:vAlign w:val="center"/>
          </w:tcPr>
          <w:p w14:paraId="4462C407">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规格/mm</w:t>
            </w:r>
          </w:p>
        </w:tc>
      </w:tr>
      <w:tr w14:paraId="5CAB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58946760">
            <w:pPr>
              <w:snapToGrid w:val="0"/>
              <w:spacing w:line="360" w:lineRule="auto"/>
              <w:jc w:val="center"/>
              <w:rPr>
                <w:rFonts w:ascii="Times New Roman" w:hAnsi="Times New Roman" w:eastAsia="宋体" w:cs="Times New Roman"/>
                <w:kern w:val="0"/>
                <w:sz w:val="21"/>
                <w:szCs w:val="21"/>
              </w:rPr>
            </w:pPr>
          </w:p>
        </w:tc>
        <w:tc>
          <w:tcPr>
            <w:tcW w:w="1168" w:type="pct"/>
            <w:vMerge w:val="continue"/>
            <w:vAlign w:val="center"/>
          </w:tcPr>
          <w:p w14:paraId="504EABC2">
            <w:pPr>
              <w:snapToGrid w:val="0"/>
              <w:spacing w:line="360" w:lineRule="auto"/>
              <w:jc w:val="center"/>
              <w:rPr>
                <w:rFonts w:ascii="Times New Roman" w:hAnsi="Times New Roman" w:eastAsia="宋体" w:cs="Times New Roman"/>
                <w:kern w:val="0"/>
                <w:sz w:val="21"/>
                <w:szCs w:val="21"/>
              </w:rPr>
            </w:pPr>
          </w:p>
        </w:tc>
        <w:tc>
          <w:tcPr>
            <w:tcW w:w="1484" w:type="pct"/>
            <w:gridSpan w:val="2"/>
            <w:vAlign w:val="center"/>
          </w:tcPr>
          <w:p w14:paraId="7520222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直径d</w:t>
            </w:r>
          </w:p>
        </w:tc>
        <w:tc>
          <w:tcPr>
            <w:tcW w:w="1684" w:type="pct"/>
            <w:gridSpan w:val="2"/>
            <w:vAlign w:val="center"/>
          </w:tcPr>
          <w:p w14:paraId="6CCBACA7">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长度</w:t>
            </w:r>
            <w:r>
              <w:rPr>
                <w:rFonts w:hint="eastAsia" w:ascii="Times New Roman" w:hAnsi="Times New Roman" w:eastAsia="宋体" w:cs="Times New Roman"/>
                <w:kern w:val="0"/>
                <w:sz w:val="21"/>
                <w:szCs w:val="21"/>
              </w:rPr>
              <w:t>l</w:t>
            </w:r>
          </w:p>
        </w:tc>
      </w:tr>
      <w:tr w14:paraId="37433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restart"/>
            <w:vAlign w:val="center"/>
          </w:tcPr>
          <w:p w14:paraId="365629F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丝材</w:t>
            </w:r>
          </w:p>
        </w:tc>
        <w:tc>
          <w:tcPr>
            <w:tcW w:w="1168" w:type="pct"/>
            <w:vAlign w:val="center"/>
          </w:tcPr>
          <w:p w14:paraId="22950422">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加工态/F</w:t>
            </w:r>
          </w:p>
        </w:tc>
        <w:tc>
          <w:tcPr>
            <w:tcW w:w="1484" w:type="pct"/>
            <w:gridSpan w:val="2"/>
            <w:vAlign w:val="center"/>
          </w:tcPr>
          <w:p w14:paraId="49CC5B8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1.0≤d＜3.0</w:t>
            </w:r>
          </w:p>
        </w:tc>
        <w:tc>
          <w:tcPr>
            <w:tcW w:w="1684" w:type="pct"/>
            <w:gridSpan w:val="2"/>
            <w:vAlign w:val="center"/>
          </w:tcPr>
          <w:p w14:paraId="3FE109D6">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300.0≤l≤2000.0</w:t>
            </w:r>
          </w:p>
        </w:tc>
      </w:tr>
      <w:tr w14:paraId="4A0BC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291005C4">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66B9FD4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热处理半硬态/H</w:t>
            </w:r>
          </w:p>
        </w:tc>
        <w:tc>
          <w:tcPr>
            <w:tcW w:w="1484" w:type="pct"/>
            <w:gridSpan w:val="2"/>
            <w:vAlign w:val="center"/>
          </w:tcPr>
          <w:p w14:paraId="08376FA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1.0≤d＜3.0</w:t>
            </w:r>
          </w:p>
        </w:tc>
        <w:tc>
          <w:tcPr>
            <w:tcW w:w="1684" w:type="pct"/>
            <w:gridSpan w:val="2"/>
            <w:vAlign w:val="center"/>
          </w:tcPr>
          <w:p w14:paraId="51C33D1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300.0≤l＜2000.0</w:t>
            </w:r>
          </w:p>
        </w:tc>
      </w:tr>
      <w:tr w14:paraId="26A6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4051E9F3">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2188E71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热处理软态/O</w:t>
            </w:r>
          </w:p>
        </w:tc>
        <w:tc>
          <w:tcPr>
            <w:tcW w:w="1484" w:type="pct"/>
            <w:gridSpan w:val="2"/>
            <w:vAlign w:val="center"/>
          </w:tcPr>
          <w:p w14:paraId="1C16591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1.0≤d＜3.0</w:t>
            </w:r>
          </w:p>
        </w:tc>
        <w:tc>
          <w:tcPr>
            <w:tcW w:w="1684" w:type="pct"/>
            <w:gridSpan w:val="2"/>
            <w:vAlign w:val="center"/>
          </w:tcPr>
          <w:p w14:paraId="20639062">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300.0≤l＜2000.0</w:t>
            </w:r>
          </w:p>
        </w:tc>
      </w:tr>
      <w:tr w14:paraId="2578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restart"/>
            <w:vAlign w:val="center"/>
          </w:tcPr>
          <w:p w14:paraId="66AEFB3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棒材</w:t>
            </w:r>
          </w:p>
        </w:tc>
        <w:tc>
          <w:tcPr>
            <w:tcW w:w="1168" w:type="pct"/>
            <w:vAlign w:val="center"/>
          </w:tcPr>
          <w:p w14:paraId="61E8BF4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加工态/F</w:t>
            </w:r>
          </w:p>
        </w:tc>
        <w:tc>
          <w:tcPr>
            <w:tcW w:w="1484" w:type="pct"/>
            <w:gridSpan w:val="2"/>
            <w:vAlign w:val="center"/>
          </w:tcPr>
          <w:p w14:paraId="38FFE80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3.0≤d＜20.0</w:t>
            </w:r>
          </w:p>
        </w:tc>
        <w:tc>
          <w:tcPr>
            <w:tcW w:w="1684" w:type="pct"/>
            <w:gridSpan w:val="2"/>
            <w:vAlign w:val="center"/>
          </w:tcPr>
          <w:p w14:paraId="4C7451F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300.0≤l≤2000.0</w:t>
            </w:r>
          </w:p>
        </w:tc>
      </w:tr>
      <w:tr w14:paraId="1165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18FD677E">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4C77FEF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热处理半硬态/H</w:t>
            </w:r>
          </w:p>
        </w:tc>
        <w:tc>
          <w:tcPr>
            <w:tcW w:w="1484" w:type="pct"/>
            <w:gridSpan w:val="2"/>
            <w:vAlign w:val="center"/>
          </w:tcPr>
          <w:p w14:paraId="327D8B1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3.0≤d＜20.0</w:t>
            </w:r>
          </w:p>
        </w:tc>
        <w:tc>
          <w:tcPr>
            <w:tcW w:w="1684" w:type="pct"/>
            <w:gridSpan w:val="2"/>
            <w:vAlign w:val="center"/>
          </w:tcPr>
          <w:p w14:paraId="154EF6F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300.0≤l≤2000.0</w:t>
            </w:r>
          </w:p>
        </w:tc>
      </w:tr>
      <w:tr w14:paraId="7DCD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0DB7F5AE">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6558BED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热处理软态/O</w:t>
            </w:r>
          </w:p>
        </w:tc>
        <w:tc>
          <w:tcPr>
            <w:tcW w:w="1484" w:type="pct"/>
            <w:gridSpan w:val="2"/>
            <w:vAlign w:val="center"/>
          </w:tcPr>
          <w:p w14:paraId="189E4BD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3.0≤d＜20.0</w:t>
            </w:r>
          </w:p>
        </w:tc>
        <w:tc>
          <w:tcPr>
            <w:tcW w:w="1684" w:type="pct"/>
            <w:gridSpan w:val="2"/>
            <w:vAlign w:val="center"/>
          </w:tcPr>
          <w:p w14:paraId="0BD176F7">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300.0≤l≤2000.0</w:t>
            </w:r>
          </w:p>
        </w:tc>
      </w:tr>
      <w:tr w14:paraId="68EB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restart"/>
            <w:vAlign w:val="center"/>
          </w:tcPr>
          <w:p w14:paraId="5603DFD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板材</w:t>
            </w:r>
          </w:p>
        </w:tc>
        <w:tc>
          <w:tcPr>
            <w:tcW w:w="1168" w:type="pct"/>
            <w:vAlign w:val="center"/>
          </w:tcPr>
          <w:p w14:paraId="6DAF3C0E">
            <w:pPr>
              <w:snapToGrid w:val="0"/>
              <w:spacing w:line="360" w:lineRule="auto"/>
              <w:jc w:val="center"/>
              <w:rPr>
                <w:rFonts w:ascii="Times New Roman" w:hAnsi="Times New Roman" w:eastAsia="宋体" w:cs="Times New Roman"/>
                <w:kern w:val="0"/>
                <w:sz w:val="21"/>
                <w:szCs w:val="21"/>
              </w:rPr>
            </w:pPr>
          </w:p>
        </w:tc>
        <w:tc>
          <w:tcPr>
            <w:tcW w:w="1001" w:type="pct"/>
            <w:vAlign w:val="center"/>
          </w:tcPr>
          <w:p w14:paraId="769FD613">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厚度h</w:t>
            </w:r>
          </w:p>
        </w:tc>
        <w:tc>
          <w:tcPr>
            <w:tcW w:w="1025" w:type="pct"/>
            <w:gridSpan w:val="2"/>
            <w:vAlign w:val="center"/>
          </w:tcPr>
          <w:p w14:paraId="6CE493C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宽度w</w:t>
            </w:r>
          </w:p>
        </w:tc>
        <w:tc>
          <w:tcPr>
            <w:tcW w:w="1143" w:type="pct"/>
            <w:vAlign w:val="center"/>
          </w:tcPr>
          <w:p w14:paraId="18073E40">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长度l</w:t>
            </w:r>
          </w:p>
        </w:tc>
      </w:tr>
      <w:tr w14:paraId="2CDC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391DC7F8">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468D3E9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加工态/F</w:t>
            </w:r>
          </w:p>
        </w:tc>
        <w:tc>
          <w:tcPr>
            <w:tcW w:w="1001" w:type="pct"/>
            <w:vAlign w:val="center"/>
          </w:tcPr>
          <w:p w14:paraId="33A754B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1.0≤h＜10.0</w:t>
            </w:r>
          </w:p>
        </w:tc>
        <w:tc>
          <w:tcPr>
            <w:tcW w:w="1025" w:type="pct"/>
            <w:gridSpan w:val="2"/>
            <w:vAlign w:val="center"/>
          </w:tcPr>
          <w:p w14:paraId="3568CD5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25.0≤w≤100.0</w:t>
            </w:r>
          </w:p>
        </w:tc>
        <w:tc>
          <w:tcPr>
            <w:tcW w:w="1143" w:type="pct"/>
            <w:vAlign w:val="center"/>
          </w:tcPr>
          <w:p w14:paraId="109B321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100.0≤l≤2000.0</w:t>
            </w:r>
          </w:p>
        </w:tc>
      </w:tr>
      <w:tr w14:paraId="43B3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228292AA">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06414BE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热处理半硬态/H</w:t>
            </w:r>
          </w:p>
        </w:tc>
        <w:tc>
          <w:tcPr>
            <w:tcW w:w="1001" w:type="pct"/>
            <w:vAlign w:val="center"/>
          </w:tcPr>
          <w:p w14:paraId="120A26C7">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1.0≤h＜10.0</w:t>
            </w:r>
          </w:p>
        </w:tc>
        <w:tc>
          <w:tcPr>
            <w:tcW w:w="1025" w:type="pct"/>
            <w:gridSpan w:val="2"/>
            <w:vAlign w:val="center"/>
          </w:tcPr>
          <w:p w14:paraId="2A7E60C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25.0≤w＜100.0</w:t>
            </w:r>
          </w:p>
        </w:tc>
        <w:tc>
          <w:tcPr>
            <w:tcW w:w="1143" w:type="pct"/>
            <w:vAlign w:val="center"/>
          </w:tcPr>
          <w:p w14:paraId="4D54A7B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100.0≤l≤2000.0</w:t>
            </w:r>
          </w:p>
        </w:tc>
      </w:tr>
      <w:tr w14:paraId="47CC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4" w:type="pct"/>
            <w:vMerge w:val="continue"/>
            <w:vAlign w:val="center"/>
          </w:tcPr>
          <w:p w14:paraId="615449BA">
            <w:pPr>
              <w:snapToGrid w:val="0"/>
              <w:spacing w:line="360" w:lineRule="auto"/>
              <w:jc w:val="center"/>
              <w:rPr>
                <w:rFonts w:ascii="Times New Roman" w:hAnsi="Times New Roman" w:eastAsia="宋体" w:cs="Times New Roman"/>
                <w:kern w:val="0"/>
                <w:sz w:val="21"/>
                <w:szCs w:val="21"/>
              </w:rPr>
            </w:pPr>
          </w:p>
        </w:tc>
        <w:tc>
          <w:tcPr>
            <w:tcW w:w="1168" w:type="pct"/>
            <w:vAlign w:val="center"/>
          </w:tcPr>
          <w:p w14:paraId="799D57B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热处理软态/O</w:t>
            </w:r>
          </w:p>
        </w:tc>
        <w:tc>
          <w:tcPr>
            <w:tcW w:w="1001" w:type="pct"/>
            <w:vAlign w:val="center"/>
          </w:tcPr>
          <w:p w14:paraId="243BA81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1.0≤h＜10.0</w:t>
            </w:r>
          </w:p>
        </w:tc>
        <w:tc>
          <w:tcPr>
            <w:tcW w:w="1025" w:type="pct"/>
            <w:gridSpan w:val="2"/>
            <w:vAlign w:val="center"/>
          </w:tcPr>
          <w:p w14:paraId="1FACE15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25.0≤w≤100.0</w:t>
            </w:r>
          </w:p>
        </w:tc>
        <w:tc>
          <w:tcPr>
            <w:tcW w:w="1143" w:type="pct"/>
            <w:vAlign w:val="center"/>
          </w:tcPr>
          <w:p w14:paraId="464E6030">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100.0≤l≤2000.0</w:t>
            </w:r>
          </w:p>
        </w:tc>
      </w:tr>
      <w:bookmarkEnd w:id="4"/>
    </w:tbl>
    <w:p w14:paraId="2193434A">
      <w:pPr>
        <w:snapToGrid w:val="0"/>
        <w:spacing w:line="360" w:lineRule="auto"/>
        <w:rPr>
          <w:rFonts w:ascii="Times New Roman" w:hAnsi="Times New Roman" w:eastAsia="宋体" w:cs="Times New Roman"/>
          <w:b/>
          <w:szCs w:val="21"/>
        </w:rPr>
      </w:pPr>
    </w:p>
    <w:p w14:paraId="2989439A">
      <w:pPr>
        <w:snapToGrid w:val="0"/>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表3 可降解镁锌锰合金材料的直径与长度允许偏差</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482"/>
        <w:gridCol w:w="1487"/>
        <w:gridCol w:w="1075"/>
        <w:gridCol w:w="1898"/>
        <w:gridCol w:w="1512"/>
      </w:tblGrid>
      <w:tr w14:paraId="7B2D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gridSpan w:val="2"/>
            <w:vAlign w:val="center"/>
          </w:tcPr>
          <w:p w14:paraId="21806C43">
            <w:pPr>
              <w:snapToGrid w:val="0"/>
              <w:spacing w:line="360" w:lineRule="auto"/>
              <w:jc w:val="center"/>
              <w:rPr>
                <w:rFonts w:ascii="Times New Roman" w:hAnsi="Times New Roman" w:eastAsia="宋体" w:cs="Times New Roman"/>
                <w:kern w:val="0"/>
                <w:sz w:val="21"/>
                <w:szCs w:val="21"/>
              </w:rPr>
            </w:pPr>
            <w:bookmarkStart w:id="5" w:name="_Hlk201677277"/>
            <w:r>
              <w:rPr>
                <w:rFonts w:hint="eastAsia" w:ascii="Times New Roman" w:hAnsi="Times New Roman" w:eastAsia="宋体" w:cs="Times New Roman"/>
                <w:kern w:val="0"/>
                <w:sz w:val="21"/>
                <w:szCs w:val="21"/>
              </w:rPr>
              <w:t>尺寸范围/mm</w:t>
            </w:r>
          </w:p>
        </w:tc>
        <w:tc>
          <w:tcPr>
            <w:tcW w:w="1487" w:type="dxa"/>
            <w:vAlign w:val="center"/>
          </w:tcPr>
          <w:p w14:paraId="56C61D2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允许偏差/mm</w:t>
            </w:r>
          </w:p>
        </w:tc>
        <w:tc>
          <w:tcPr>
            <w:tcW w:w="2973" w:type="dxa"/>
            <w:gridSpan w:val="2"/>
            <w:vAlign w:val="center"/>
          </w:tcPr>
          <w:p w14:paraId="095A5B8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尺寸范围/mm</w:t>
            </w:r>
          </w:p>
        </w:tc>
        <w:tc>
          <w:tcPr>
            <w:tcW w:w="1512" w:type="dxa"/>
            <w:vAlign w:val="center"/>
          </w:tcPr>
          <w:p w14:paraId="6A773B5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允许偏差/mm</w:t>
            </w:r>
          </w:p>
        </w:tc>
      </w:tr>
      <w:tr w14:paraId="30BB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8" w:type="dxa"/>
            <w:vMerge w:val="restart"/>
            <w:vAlign w:val="center"/>
          </w:tcPr>
          <w:p w14:paraId="12A56F7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直径d</w:t>
            </w:r>
          </w:p>
        </w:tc>
        <w:tc>
          <w:tcPr>
            <w:tcW w:w="1482" w:type="dxa"/>
            <w:vAlign w:val="center"/>
          </w:tcPr>
          <w:p w14:paraId="6FB3136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1.0≤d＜3.0</w:t>
            </w:r>
          </w:p>
        </w:tc>
        <w:tc>
          <w:tcPr>
            <w:tcW w:w="1487" w:type="dxa"/>
            <w:vAlign w:val="center"/>
          </w:tcPr>
          <w:p w14:paraId="43FC666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±0.1</w:t>
            </w:r>
          </w:p>
        </w:tc>
        <w:tc>
          <w:tcPr>
            <w:tcW w:w="1075" w:type="dxa"/>
            <w:vAlign w:val="center"/>
          </w:tcPr>
          <w:p w14:paraId="44F2684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宽度w</w:t>
            </w:r>
          </w:p>
        </w:tc>
        <w:tc>
          <w:tcPr>
            <w:tcW w:w="1898" w:type="dxa"/>
            <w:vAlign w:val="center"/>
          </w:tcPr>
          <w:p w14:paraId="2297F963">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25.0≤w≤100.0</w:t>
            </w:r>
          </w:p>
        </w:tc>
        <w:tc>
          <w:tcPr>
            <w:tcW w:w="1512" w:type="dxa"/>
            <w:vAlign w:val="center"/>
          </w:tcPr>
          <w:p w14:paraId="3B471345">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±2.0</w:t>
            </w:r>
          </w:p>
        </w:tc>
      </w:tr>
      <w:tr w14:paraId="358A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8" w:type="dxa"/>
            <w:vMerge w:val="continue"/>
            <w:vAlign w:val="center"/>
          </w:tcPr>
          <w:p w14:paraId="1631BE34">
            <w:pPr>
              <w:snapToGrid w:val="0"/>
              <w:spacing w:line="360" w:lineRule="auto"/>
              <w:jc w:val="center"/>
              <w:rPr>
                <w:rFonts w:ascii="Times New Roman" w:hAnsi="Times New Roman" w:eastAsia="宋体" w:cs="Times New Roman"/>
                <w:kern w:val="0"/>
                <w:sz w:val="21"/>
                <w:szCs w:val="21"/>
              </w:rPr>
            </w:pPr>
          </w:p>
        </w:tc>
        <w:tc>
          <w:tcPr>
            <w:tcW w:w="1482" w:type="dxa"/>
            <w:vAlign w:val="center"/>
          </w:tcPr>
          <w:p w14:paraId="0D5A942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3.0≤d＜20.0</w:t>
            </w:r>
          </w:p>
        </w:tc>
        <w:tc>
          <w:tcPr>
            <w:tcW w:w="1487" w:type="dxa"/>
            <w:vAlign w:val="center"/>
          </w:tcPr>
          <w:p w14:paraId="66F3608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±0.5</w:t>
            </w:r>
          </w:p>
        </w:tc>
        <w:tc>
          <w:tcPr>
            <w:tcW w:w="1075" w:type="dxa"/>
            <w:vMerge w:val="restart"/>
            <w:vAlign w:val="center"/>
          </w:tcPr>
          <w:p w14:paraId="21CB279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长度l</w:t>
            </w:r>
          </w:p>
        </w:tc>
        <w:tc>
          <w:tcPr>
            <w:tcW w:w="1898" w:type="dxa"/>
            <w:vAlign w:val="center"/>
          </w:tcPr>
          <w:p w14:paraId="09BB5C3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l.0＜800.0</w:t>
            </w:r>
          </w:p>
        </w:tc>
        <w:tc>
          <w:tcPr>
            <w:tcW w:w="1512" w:type="dxa"/>
            <w:vAlign w:val="center"/>
          </w:tcPr>
          <w:p w14:paraId="73CDB44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±2.0</w:t>
            </w:r>
          </w:p>
        </w:tc>
      </w:tr>
      <w:tr w14:paraId="7CAF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8" w:type="dxa"/>
            <w:vAlign w:val="center"/>
          </w:tcPr>
          <w:p w14:paraId="2426B61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厚度h</w:t>
            </w:r>
          </w:p>
        </w:tc>
        <w:tc>
          <w:tcPr>
            <w:tcW w:w="1482" w:type="dxa"/>
            <w:vAlign w:val="center"/>
          </w:tcPr>
          <w:p w14:paraId="7C2471C2">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1.0≤h＜3.0</w:t>
            </w:r>
          </w:p>
        </w:tc>
        <w:tc>
          <w:tcPr>
            <w:tcW w:w="1487" w:type="dxa"/>
            <w:vAlign w:val="center"/>
          </w:tcPr>
          <w:p w14:paraId="1D2D24C7">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±0.1</w:t>
            </w:r>
          </w:p>
        </w:tc>
        <w:tc>
          <w:tcPr>
            <w:tcW w:w="1075" w:type="dxa"/>
            <w:vMerge w:val="continue"/>
            <w:vAlign w:val="center"/>
          </w:tcPr>
          <w:p w14:paraId="67E89F29">
            <w:pPr>
              <w:snapToGrid w:val="0"/>
              <w:spacing w:line="360" w:lineRule="auto"/>
              <w:jc w:val="center"/>
              <w:rPr>
                <w:rFonts w:ascii="Times New Roman" w:hAnsi="Times New Roman" w:eastAsia="宋体" w:cs="Times New Roman"/>
                <w:kern w:val="0"/>
                <w:sz w:val="21"/>
                <w:szCs w:val="21"/>
              </w:rPr>
            </w:pPr>
          </w:p>
        </w:tc>
        <w:tc>
          <w:tcPr>
            <w:tcW w:w="1898" w:type="dxa"/>
            <w:vAlign w:val="center"/>
          </w:tcPr>
          <w:p w14:paraId="622EE2E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800.0≤l＜1200.0</w:t>
            </w:r>
          </w:p>
        </w:tc>
        <w:tc>
          <w:tcPr>
            <w:tcW w:w="1512" w:type="dxa"/>
            <w:vAlign w:val="center"/>
          </w:tcPr>
          <w:p w14:paraId="3BC481A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±4.0</w:t>
            </w:r>
          </w:p>
        </w:tc>
      </w:tr>
    </w:tbl>
    <w:p w14:paraId="3CDB1A91">
      <w:pPr>
        <w:sectPr>
          <w:pgSz w:w="11906" w:h="16838"/>
          <w:pgMar w:top="1440" w:right="1800" w:bottom="1440" w:left="1800" w:header="851" w:footer="992" w:gutter="0"/>
          <w:cols w:space="425" w:num="1"/>
          <w:docGrid w:type="lines" w:linePitch="312" w:charSpace="0"/>
        </w:sect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1482"/>
        <w:gridCol w:w="1487"/>
        <w:gridCol w:w="1075"/>
        <w:gridCol w:w="1898"/>
        <w:gridCol w:w="1512"/>
      </w:tblGrid>
      <w:tr w14:paraId="3A70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68" w:type="dxa"/>
            <w:vAlign w:val="center"/>
          </w:tcPr>
          <w:p w14:paraId="30743AF3">
            <w:pPr>
              <w:snapToGrid w:val="0"/>
              <w:spacing w:line="360" w:lineRule="auto"/>
              <w:jc w:val="center"/>
              <w:rPr>
                <w:rFonts w:ascii="Times New Roman" w:hAnsi="Times New Roman" w:eastAsia="宋体" w:cs="Times New Roman"/>
                <w:kern w:val="0"/>
                <w:sz w:val="21"/>
                <w:szCs w:val="21"/>
              </w:rPr>
            </w:pPr>
          </w:p>
        </w:tc>
        <w:tc>
          <w:tcPr>
            <w:tcW w:w="1482" w:type="dxa"/>
            <w:vAlign w:val="center"/>
          </w:tcPr>
          <w:p w14:paraId="4647CDB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3.0≤h＜10.0</w:t>
            </w:r>
          </w:p>
        </w:tc>
        <w:tc>
          <w:tcPr>
            <w:tcW w:w="1487" w:type="dxa"/>
            <w:vAlign w:val="center"/>
          </w:tcPr>
          <w:p w14:paraId="4BAC078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±0.5</w:t>
            </w:r>
          </w:p>
        </w:tc>
        <w:tc>
          <w:tcPr>
            <w:tcW w:w="1075" w:type="dxa"/>
            <w:vAlign w:val="center"/>
          </w:tcPr>
          <w:p w14:paraId="21AA81CB">
            <w:pPr>
              <w:snapToGrid w:val="0"/>
              <w:spacing w:line="360" w:lineRule="auto"/>
              <w:jc w:val="center"/>
              <w:rPr>
                <w:rFonts w:ascii="Times New Roman" w:hAnsi="Times New Roman" w:eastAsia="宋体" w:cs="Times New Roman"/>
                <w:kern w:val="0"/>
                <w:sz w:val="21"/>
                <w:szCs w:val="21"/>
              </w:rPr>
            </w:pPr>
          </w:p>
        </w:tc>
        <w:tc>
          <w:tcPr>
            <w:tcW w:w="1898" w:type="dxa"/>
            <w:vAlign w:val="center"/>
          </w:tcPr>
          <w:p w14:paraId="25420CD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1200.0≤l＜2000.0</w:t>
            </w:r>
          </w:p>
        </w:tc>
        <w:tc>
          <w:tcPr>
            <w:tcW w:w="1512" w:type="dxa"/>
            <w:vAlign w:val="center"/>
          </w:tcPr>
          <w:p w14:paraId="71F40BA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±5.0</w:t>
            </w:r>
          </w:p>
        </w:tc>
      </w:tr>
      <w:bookmarkEnd w:id="5"/>
    </w:tbl>
    <w:p w14:paraId="5742B8B4">
      <w:pPr>
        <w:snapToGrid w:val="0"/>
        <w:spacing w:line="360" w:lineRule="auto"/>
        <w:ind w:firstLine="560" w:firstLineChars="200"/>
        <w:rPr>
          <w:rFonts w:ascii="Times New Roman" w:hAnsi="Times New Roman" w:eastAsia="仿宋" w:cs="Times New Roman"/>
          <w:sz w:val="28"/>
          <w:szCs w:val="28"/>
        </w:rPr>
      </w:pPr>
    </w:p>
    <w:p w14:paraId="1CDE591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本标准规定了外科植入物新型可降解镁锌锰合金骨植入材料的外观与质量。外观质量是衡量产品表面质量的一个重要指标。本标准对于材料的表面质量要求较高，同时对于超声波探伤也进行了一定的要求。</w:t>
      </w:r>
    </w:p>
    <w:p w14:paraId="243D2A9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本标准规定了外科植入物新型可降解镁锌锰合金骨植入材料的显微组织结构，要求可降解镁锌锰合金材料显微组织最大晶粒尺寸≤50μm。</w:t>
      </w:r>
    </w:p>
    <w:p w14:paraId="4F51E8BE">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力学性能。力学性能是针对在热处理校直态下可降解镁锌锰合金骨植入材料的抗拉强度、屈服强度、弹性模量、延伸率进行约定，同时也是满足可降解植入器械制备要求的指标（详见表4所示）。</w:t>
      </w:r>
    </w:p>
    <w:p w14:paraId="62BF775A">
      <w:pPr>
        <w:snapToGrid w:val="0"/>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表4 可降解镁锌锰合金材料力学性能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1801"/>
        <w:gridCol w:w="1560"/>
        <w:gridCol w:w="1625"/>
        <w:gridCol w:w="1185"/>
        <w:gridCol w:w="1096"/>
      </w:tblGrid>
      <w:tr w14:paraId="0AAC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1029" w:type="dxa"/>
            <w:vAlign w:val="center"/>
          </w:tcPr>
          <w:p w14:paraId="2E624ADD">
            <w:pPr>
              <w:snapToGrid w:val="0"/>
              <w:spacing w:line="360" w:lineRule="auto"/>
              <w:jc w:val="center"/>
              <w:rPr>
                <w:rFonts w:ascii="Times New Roman" w:hAnsi="Times New Roman" w:eastAsia="宋体" w:cs="Times New Roman"/>
                <w:kern w:val="0"/>
                <w:sz w:val="21"/>
                <w:szCs w:val="21"/>
              </w:rPr>
            </w:pPr>
            <w:bookmarkStart w:id="6" w:name="_Hlk201677307"/>
            <w:r>
              <w:rPr>
                <w:rFonts w:hint="eastAsia" w:ascii="Times New Roman" w:hAnsi="Times New Roman" w:eastAsia="宋体" w:cs="Times New Roman"/>
                <w:kern w:val="0"/>
                <w:sz w:val="21"/>
                <w:szCs w:val="21"/>
              </w:rPr>
              <w:t>材料形态</w:t>
            </w:r>
          </w:p>
        </w:tc>
        <w:tc>
          <w:tcPr>
            <w:tcW w:w="1801" w:type="dxa"/>
            <w:vAlign w:val="center"/>
          </w:tcPr>
          <w:p w14:paraId="0BDED0C3">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供应状态</w:t>
            </w:r>
          </w:p>
        </w:tc>
        <w:tc>
          <w:tcPr>
            <w:tcW w:w="1560" w:type="dxa"/>
            <w:vAlign w:val="center"/>
          </w:tcPr>
          <w:p w14:paraId="7DFB7F76">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抗拉强度Rm/MPa</w:t>
            </w:r>
          </w:p>
        </w:tc>
        <w:tc>
          <w:tcPr>
            <w:tcW w:w="1625" w:type="dxa"/>
            <w:vAlign w:val="center"/>
          </w:tcPr>
          <w:p w14:paraId="3455BBA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屈服</w:t>
            </w:r>
            <w:r>
              <w:rPr>
                <w:rFonts w:ascii="Times New Roman" w:hAnsi="Times New Roman" w:eastAsia="宋体" w:cs="Times New Roman"/>
                <w:kern w:val="0"/>
                <w:sz w:val="21"/>
                <w:szCs w:val="21"/>
              </w:rPr>
              <w:t>强度Rp0.2/MPa</w:t>
            </w:r>
          </w:p>
        </w:tc>
        <w:tc>
          <w:tcPr>
            <w:tcW w:w="1185" w:type="dxa"/>
            <w:vAlign w:val="center"/>
          </w:tcPr>
          <w:p w14:paraId="580D54E1">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弹性模量/GPa</w:t>
            </w:r>
          </w:p>
        </w:tc>
        <w:tc>
          <w:tcPr>
            <w:tcW w:w="1096" w:type="dxa"/>
            <w:vAlign w:val="center"/>
          </w:tcPr>
          <w:p w14:paraId="127E19B4">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延伸率A/%</w:t>
            </w:r>
          </w:p>
        </w:tc>
      </w:tr>
      <w:tr w14:paraId="19F4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restart"/>
            <w:vAlign w:val="center"/>
          </w:tcPr>
          <w:p w14:paraId="1F4E821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丝材</w:t>
            </w:r>
          </w:p>
        </w:tc>
        <w:tc>
          <w:tcPr>
            <w:tcW w:w="1801" w:type="dxa"/>
            <w:vAlign w:val="center"/>
          </w:tcPr>
          <w:p w14:paraId="21E082A5">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加工态/F</w:t>
            </w:r>
          </w:p>
        </w:tc>
        <w:tc>
          <w:tcPr>
            <w:tcW w:w="1560" w:type="dxa"/>
            <w:vAlign w:val="center"/>
          </w:tcPr>
          <w:p w14:paraId="3D00BDD2">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25</w:t>
            </w:r>
          </w:p>
        </w:tc>
        <w:tc>
          <w:tcPr>
            <w:tcW w:w="1625" w:type="dxa"/>
            <w:vAlign w:val="center"/>
          </w:tcPr>
          <w:p w14:paraId="607EFEDF">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6</w:t>
            </w:r>
            <w:r>
              <w:rPr>
                <w:rFonts w:ascii="Times New Roman" w:hAnsi="Times New Roman" w:eastAsia="宋体" w:cs="Times New Roman"/>
                <w:kern w:val="0"/>
                <w:sz w:val="21"/>
                <w:szCs w:val="21"/>
              </w:rPr>
              <w:t>0</w:t>
            </w:r>
          </w:p>
        </w:tc>
        <w:tc>
          <w:tcPr>
            <w:tcW w:w="1185" w:type="dxa"/>
            <w:vAlign w:val="center"/>
          </w:tcPr>
          <w:p w14:paraId="0304AC33">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654EC551">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6D9A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continue"/>
            <w:vAlign w:val="center"/>
          </w:tcPr>
          <w:p w14:paraId="5713C317">
            <w:pPr>
              <w:snapToGrid w:val="0"/>
              <w:spacing w:line="360" w:lineRule="auto"/>
              <w:jc w:val="center"/>
              <w:rPr>
                <w:rFonts w:ascii="Times New Roman" w:hAnsi="Times New Roman" w:eastAsia="宋体" w:cs="Times New Roman"/>
                <w:kern w:val="0"/>
                <w:sz w:val="21"/>
                <w:szCs w:val="21"/>
              </w:rPr>
            </w:pPr>
          </w:p>
        </w:tc>
        <w:tc>
          <w:tcPr>
            <w:tcW w:w="1801" w:type="dxa"/>
            <w:vAlign w:val="center"/>
          </w:tcPr>
          <w:p w14:paraId="2C30382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热处理半硬态/H</w:t>
            </w:r>
          </w:p>
        </w:tc>
        <w:tc>
          <w:tcPr>
            <w:tcW w:w="1560" w:type="dxa"/>
            <w:vAlign w:val="center"/>
          </w:tcPr>
          <w:p w14:paraId="50E7E2A0">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25</w:t>
            </w:r>
          </w:p>
        </w:tc>
        <w:tc>
          <w:tcPr>
            <w:tcW w:w="1625" w:type="dxa"/>
            <w:vAlign w:val="center"/>
          </w:tcPr>
          <w:p w14:paraId="6AEDEA84">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6</w:t>
            </w:r>
            <w:r>
              <w:rPr>
                <w:rFonts w:ascii="Times New Roman" w:hAnsi="Times New Roman" w:eastAsia="宋体" w:cs="Times New Roman"/>
                <w:kern w:val="0"/>
                <w:sz w:val="21"/>
                <w:szCs w:val="21"/>
              </w:rPr>
              <w:t>0</w:t>
            </w:r>
          </w:p>
        </w:tc>
        <w:tc>
          <w:tcPr>
            <w:tcW w:w="1185" w:type="dxa"/>
            <w:vAlign w:val="center"/>
          </w:tcPr>
          <w:p w14:paraId="444AB45A">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00F5B7D7">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3773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continue"/>
            <w:vAlign w:val="center"/>
          </w:tcPr>
          <w:p w14:paraId="58CB4360">
            <w:pPr>
              <w:snapToGrid w:val="0"/>
              <w:spacing w:line="360" w:lineRule="auto"/>
              <w:jc w:val="center"/>
              <w:rPr>
                <w:rFonts w:ascii="Times New Roman" w:hAnsi="Times New Roman" w:eastAsia="宋体" w:cs="Times New Roman"/>
                <w:kern w:val="0"/>
                <w:sz w:val="21"/>
                <w:szCs w:val="21"/>
              </w:rPr>
            </w:pPr>
          </w:p>
        </w:tc>
        <w:tc>
          <w:tcPr>
            <w:tcW w:w="1801" w:type="dxa"/>
            <w:vAlign w:val="center"/>
          </w:tcPr>
          <w:p w14:paraId="08E4AC9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热处理软态/O</w:t>
            </w:r>
          </w:p>
        </w:tc>
        <w:tc>
          <w:tcPr>
            <w:tcW w:w="1560" w:type="dxa"/>
            <w:vAlign w:val="center"/>
          </w:tcPr>
          <w:p w14:paraId="47BDFA37">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hint="eastAsia" w:ascii="宋体" w:hAnsi="宋体" w:eastAsia="宋体" w:cs="Times New Roman"/>
                <w:kern w:val="0"/>
                <w:sz w:val="21"/>
                <w:szCs w:val="21"/>
              </w:rPr>
              <w:t>18</w:t>
            </w:r>
            <w:r>
              <w:rPr>
                <w:rFonts w:ascii="Times New Roman" w:hAnsi="Times New Roman" w:eastAsia="宋体" w:cs="Times New Roman"/>
                <w:kern w:val="0"/>
                <w:sz w:val="21"/>
                <w:szCs w:val="21"/>
              </w:rPr>
              <w:t>0</w:t>
            </w:r>
          </w:p>
        </w:tc>
        <w:tc>
          <w:tcPr>
            <w:tcW w:w="1625" w:type="dxa"/>
            <w:vAlign w:val="center"/>
          </w:tcPr>
          <w:p w14:paraId="5E34F642">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4</w:t>
            </w:r>
            <w:r>
              <w:rPr>
                <w:rFonts w:ascii="Times New Roman" w:hAnsi="Times New Roman" w:eastAsia="宋体" w:cs="Times New Roman"/>
                <w:kern w:val="0"/>
                <w:sz w:val="21"/>
                <w:szCs w:val="21"/>
              </w:rPr>
              <w:t>0</w:t>
            </w:r>
          </w:p>
        </w:tc>
        <w:tc>
          <w:tcPr>
            <w:tcW w:w="1185" w:type="dxa"/>
            <w:vAlign w:val="center"/>
          </w:tcPr>
          <w:p w14:paraId="30D8197E">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6D56D69B">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1BB0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restart"/>
            <w:vAlign w:val="center"/>
          </w:tcPr>
          <w:p w14:paraId="7326588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棒材</w:t>
            </w:r>
          </w:p>
        </w:tc>
        <w:tc>
          <w:tcPr>
            <w:tcW w:w="1801" w:type="dxa"/>
            <w:vAlign w:val="center"/>
          </w:tcPr>
          <w:p w14:paraId="211FC6A2">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加工态/F</w:t>
            </w:r>
          </w:p>
        </w:tc>
        <w:tc>
          <w:tcPr>
            <w:tcW w:w="1560" w:type="dxa"/>
            <w:vAlign w:val="center"/>
          </w:tcPr>
          <w:p w14:paraId="5B13EB53">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25</w:t>
            </w:r>
          </w:p>
        </w:tc>
        <w:tc>
          <w:tcPr>
            <w:tcW w:w="1625" w:type="dxa"/>
            <w:vAlign w:val="center"/>
          </w:tcPr>
          <w:p w14:paraId="2637AB04">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6</w:t>
            </w:r>
            <w:r>
              <w:rPr>
                <w:rFonts w:ascii="Times New Roman" w:hAnsi="Times New Roman" w:eastAsia="宋体" w:cs="Times New Roman"/>
                <w:kern w:val="0"/>
                <w:sz w:val="21"/>
                <w:szCs w:val="21"/>
              </w:rPr>
              <w:t>0</w:t>
            </w:r>
          </w:p>
        </w:tc>
        <w:tc>
          <w:tcPr>
            <w:tcW w:w="1185" w:type="dxa"/>
            <w:vAlign w:val="center"/>
          </w:tcPr>
          <w:p w14:paraId="40A88674">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1C3AED5B">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6A1B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continue"/>
            <w:vAlign w:val="center"/>
          </w:tcPr>
          <w:p w14:paraId="5A7A2F07">
            <w:pPr>
              <w:snapToGrid w:val="0"/>
              <w:spacing w:line="360" w:lineRule="auto"/>
              <w:jc w:val="center"/>
              <w:rPr>
                <w:rFonts w:ascii="Times New Roman" w:hAnsi="Times New Roman" w:eastAsia="宋体" w:cs="Times New Roman"/>
                <w:kern w:val="0"/>
                <w:sz w:val="21"/>
                <w:szCs w:val="21"/>
              </w:rPr>
            </w:pPr>
          </w:p>
        </w:tc>
        <w:tc>
          <w:tcPr>
            <w:tcW w:w="1801" w:type="dxa"/>
            <w:vAlign w:val="center"/>
          </w:tcPr>
          <w:p w14:paraId="1C6AFEA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热处理半硬态/H</w:t>
            </w:r>
          </w:p>
        </w:tc>
        <w:tc>
          <w:tcPr>
            <w:tcW w:w="1560" w:type="dxa"/>
            <w:vAlign w:val="center"/>
          </w:tcPr>
          <w:p w14:paraId="4FB72D38">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25</w:t>
            </w:r>
          </w:p>
        </w:tc>
        <w:tc>
          <w:tcPr>
            <w:tcW w:w="1625" w:type="dxa"/>
            <w:vAlign w:val="center"/>
          </w:tcPr>
          <w:p w14:paraId="414EA92A">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6</w:t>
            </w:r>
            <w:r>
              <w:rPr>
                <w:rFonts w:ascii="Times New Roman" w:hAnsi="Times New Roman" w:eastAsia="宋体" w:cs="Times New Roman"/>
                <w:kern w:val="0"/>
                <w:sz w:val="21"/>
                <w:szCs w:val="21"/>
              </w:rPr>
              <w:t>0</w:t>
            </w:r>
          </w:p>
        </w:tc>
        <w:tc>
          <w:tcPr>
            <w:tcW w:w="1185" w:type="dxa"/>
            <w:vAlign w:val="center"/>
          </w:tcPr>
          <w:p w14:paraId="01BC98B6">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3B3B3989">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764E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continue"/>
            <w:vAlign w:val="center"/>
          </w:tcPr>
          <w:p w14:paraId="2C7BA4A2">
            <w:pPr>
              <w:snapToGrid w:val="0"/>
              <w:spacing w:line="360" w:lineRule="auto"/>
              <w:jc w:val="center"/>
              <w:rPr>
                <w:rFonts w:ascii="Times New Roman" w:hAnsi="Times New Roman" w:eastAsia="宋体" w:cs="Times New Roman"/>
                <w:kern w:val="0"/>
                <w:sz w:val="21"/>
                <w:szCs w:val="21"/>
              </w:rPr>
            </w:pPr>
          </w:p>
        </w:tc>
        <w:tc>
          <w:tcPr>
            <w:tcW w:w="1801" w:type="dxa"/>
            <w:vAlign w:val="center"/>
          </w:tcPr>
          <w:p w14:paraId="1E67A15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热处理软态/O</w:t>
            </w:r>
          </w:p>
        </w:tc>
        <w:tc>
          <w:tcPr>
            <w:tcW w:w="1560" w:type="dxa"/>
            <w:vAlign w:val="center"/>
          </w:tcPr>
          <w:p w14:paraId="08A61D58">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hint="eastAsia" w:ascii="宋体" w:hAnsi="宋体" w:eastAsia="宋体" w:cs="Times New Roman"/>
                <w:kern w:val="0"/>
                <w:sz w:val="21"/>
                <w:szCs w:val="21"/>
              </w:rPr>
              <w:t>18</w:t>
            </w:r>
            <w:r>
              <w:rPr>
                <w:rFonts w:ascii="Times New Roman" w:hAnsi="Times New Roman" w:eastAsia="宋体" w:cs="Times New Roman"/>
                <w:kern w:val="0"/>
                <w:sz w:val="21"/>
                <w:szCs w:val="21"/>
              </w:rPr>
              <w:t>0</w:t>
            </w:r>
          </w:p>
        </w:tc>
        <w:tc>
          <w:tcPr>
            <w:tcW w:w="1625" w:type="dxa"/>
            <w:vAlign w:val="center"/>
          </w:tcPr>
          <w:p w14:paraId="67C0610E">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4</w:t>
            </w:r>
            <w:r>
              <w:rPr>
                <w:rFonts w:ascii="Times New Roman" w:hAnsi="Times New Roman" w:eastAsia="宋体" w:cs="Times New Roman"/>
                <w:kern w:val="0"/>
                <w:sz w:val="21"/>
                <w:szCs w:val="21"/>
              </w:rPr>
              <w:t>0</w:t>
            </w:r>
          </w:p>
        </w:tc>
        <w:tc>
          <w:tcPr>
            <w:tcW w:w="1185" w:type="dxa"/>
            <w:vAlign w:val="center"/>
          </w:tcPr>
          <w:p w14:paraId="5A5836BE">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0538FD01">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7519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restart"/>
            <w:vAlign w:val="center"/>
          </w:tcPr>
          <w:p w14:paraId="47CED5A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板材</w:t>
            </w:r>
          </w:p>
        </w:tc>
        <w:tc>
          <w:tcPr>
            <w:tcW w:w="1801" w:type="dxa"/>
            <w:vAlign w:val="center"/>
          </w:tcPr>
          <w:p w14:paraId="64E858D6">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加工态/F</w:t>
            </w:r>
          </w:p>
        </w:tc>
        <w:tc>
          <w:tcPr>
            <w:tcW w:w="1560" w:type="dxa"/>
            <w:vAlign w:val="center"/>
          </w:tcPr>
          <w:p w14:paraId="40A507C6">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25</w:t>
            </w:r>
          </w:p>
        </w:tc>
        <w:tc>
          <w:tcPr>
            <w:tcW w:w="1625" w:type="dxa"/>
            <w:vAlign w:val="center"/>
          </w:tcPr>
          <w:p w14:paraId="1627FE57">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32</w:t>
            </w:r>
          </w:p>
        </w:tc>
        <w:tc>
          <w:tcPr>
            <w:tcW w:w="1185" w:type="dxa"/>
            <w:vAlign w:val="center"/>
          </w:tcPr>
          <w:p w14:paraId="1755070E">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33FC6773">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6003E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continue"/>
            <w:vAlign w:val="center"/>
          </w:tcPr>
          <w:p w14:paraId="6A5A4DC1">
            <w:pPr>
              <w:snapToGrid w:val="0"/>
              <w:spacing w:line="360" w:lineRule="auto"/>
              <w:jc w:val="center"/>
              <w:rPr>
                <w:rFonts w:ascii="Times New Roman" w:hAnsi="Times New Roman" w:eastAsia="宋体" w:cs="Times New Roman"/>
                <w:kern w:val="0"/>
                <w:sz w:val="21"/>
                <w:szCs w:val="21"/>
              </w:rPr>
            </w:pPr>
          </w:p>
        </w:tc>
        <w:tc>
          <w:tcPr>
            <w:tcW w:w="1801" w:type="dxa"/>
            <w:vAlign w:val="center"/>
          </w:tcPr>
          <w:p w14:paraId="2565DC7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热处理半硬态/H</w:t>
            </w:r>
          </w:p>
        </w:tc>
        <w:tc>
          <w:tcPr>
            <w:tcW w:w="1560" w:type="dxa"/>
            <w:vAlign w:val="center"/>
          </w:tcPr>
          <w:p w14:paraId="4FC7F55C">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25</w:t>
            </w:r>
          </w:p>
        </w:tc>
        <w:tc>
          <w:tcPr>
            <w:tcW w:w="1625" w:type="dxa"/>
            <w:vAlign w:val="center"/>
          </w:tcPr>
          <w:p w14:paraId="451C9760">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32</w:t>
            </w:r>
          </w:p>
        </w:tc>
        <w:tc>
          <w:tcPr>
            <w:tcW w:w="1185" w:type="dxa"/>
            <w:vAlign w:val="center"/>
          </w:tcPr>
          <w:p w14:paraId="74E80641">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0444D74A">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tr w14:paraId="46A6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29" w:type="dxa"/>
            <w:vMerge w:val="continue"/>
            <w:vAlign w:val="center"/>
          </w:tcPr>
          <w:p w14:paraId="109F8ACE">
            <w:pPr>
              <w:snapToGrid w:val="0"/>
              <w:spacing w:line="360" w:lineRule="auto"/>
              <w:jc w:val="center"/>
              <w:rPr>
                <w:rFonts w:ascii="Times New Roman" w:hAnsi="Times New Roman" w:eastAsia="宋体" w:cs="Times New Roman"/>
                <w:kern w:val="0"/>
                <w:sz w:val="21"/>
                <w:szCs w:val="21"/>
              </w:rPr>
            </w:pPr>
          </w:p>
        </w:tc>
        <w:tc>
          <w:tcPr>
            <w:tcW w:w="1801" w:type="dxa"/>
            <w:vAlign w:val="center"/>
          </w:tcPr>
          <w:p w14:paraId="539CB104">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热处理软态/O</w:t>
            </w:r>
          </w:p>
        </w:tc>
        <w:tc>
          <w:tcPr>
            <w:tcW w:w="1560" w:type="dxa"/>
            <w:vAlign w:val="center"/>
          </w:tcPr>
          <w:p w14:paraId="3D3FB86D">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hint="eastAsia" w:ascii="宋体" w:hAnsi="宋体" w:eastAsia="宋体" w:cs="Times New Roman"/>
                <w:kern w:val="0"/>
                <w:sz w:val="21"/>
                <w:szCs w:val="21"/>
              </w:rPr>
              <w:t>18</w:t>
            </w:r>
            <w:r>
              <w:rPr>
                <w:rFonts w:ascii="Times New Roman" w:hAnsi="Times New Roman" w:eastAsia="宋体" w:cs="Times New Roman"/>
                <w:kern w:val="0"/>
                <w:sz w:val="21"/>
                <w:szCs w:val="21"/>
              </w:rPr>
              <w:t>0</w:t>
            </w:r>
          </w:p>
        </w:tc>
        <w:tc>
          <w:tcPr>
            <w:tcW w:w="1625" w:type="dxa"/>
            <w:vAlign w:val="center"/>
          </w:tcPr>
          <w:p w14:paraId="5092FC7F">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w:t>
            </w:r>
            <w:r>
              <w:rPr>
                <w:rFonts w:hint="eastAsia" w:ascii="Times New Roman" w:hAnsi="Times New Roman" w:eastAsia="宋体" w:cs="Times New Roman"/>
                <w:kern w:val="0"/>
                <w:sz w:val="21"/>
                <w:szCs w:val="21"/>
              </w:rPr>
              <w:t>20</w:t>
            </w:r>
          </w:p>
        </w:tc>
        <w:tc>
          <w:tcPr>
            <w:tcW w:w="1185" w:type="dxa"/>
            <w:vAlign w:val="center"/>
          </w:tcPr>
          <w:p w14:paraId="31ED783E">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45</w:t>
            </w:r>
          </w:p>
        </w:tc>
        <w:tc>
          <w:tcPr>
            <w:tcW w:w="1096" w:type="dxa"/>
            <w:vAlign w:val="center"/>
          </w:tcPr>
          <w:p w14:paraId="7E2AAFC5">
            <w:pPr>
              <w:snapToGrid w:val="0"/>
              <w:spacing w:line="360" w:lineRule="auto"/>
              <w:jc w:val="center"/>
              <w:rPr>
                <w:rFonts w:ascii="Times New Roman" w:hAnsi="Times New Roman" w:eastAsia="宋体" w:cs="Times New Roman"/>
                <w:kern w:val="0"/>
                <w:sz w:val="21"/>
                <w:szCs w:val="21"/>
              </w:rPr>
            </w:pPr>
            <w:r>
              <w:rPr>
                <w:rFonts w:ascii="宋体" w:hAnsi="宋体" w:eastAsia="宋体" w:cs="Times New Roman"/>
                <w:kern w:val="0"/>
                <w:sz w:val="21"/>
                <w:szCs w:val="21"/>
              </w:rPr>
              <w:t>≥</w:t>
            </w:r>
            <w:r>
              <w:rPr>
                <w:rFonts w:ascii="Times New Roman" w:hAnsi="Times New Roman" w:eastAsia="宋体" w:cs="Times New Roman"/>
                <w:kern w:val="0"/>
                <w:sz w:val="21"/>
                <w:szCs w:val="21"/>
              </w:rPr>
              <w:t>10</w:t>
            </w:r>
          </w:p>
        </w:tc>
      </w:tr>
      <w:bookmarkEnd w:id="6"/>
    </w:tbl>
    <w:p w14:paraId="62E7694C">
      <w:pPr>
        <w:snapToGrid w:val="0"/>
        <w:spacing w:line="360" w:lineRule="auto"/>
        <w:ind w:firstLine="560" w:firstLineChars="200"/>
        <w:rPr>
          <w:rFonts w:ascii="Times New Roman" w:hAnsi="Times New Roman" w:eastAsia="仿宋" w:cs="Times New Roman"/>
          <w:sz w:val="28"/>
          <w:szCs w:val="28"/>
        </w:rPr>
      </w:pPr>
    </w:p>
    <w:p w14:paraId="291106A0">
      <w:pPr>
        <w:snapToGrid w:val="0"/>
        <w:spacing w:line="360" w:lineRule="auto"/>
        <w:ind w:firstLine="48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本标准规定了外科植入物新型可降解镁锌锰合金骨植入材料的降解性能（如表5所示）。</w:t>
      </w:r>
      <w:r>
        <w:rPr>
          <w:rFonts w:ascii="Times New Roman" w:hAnsi="Times New Roman" w:eastAsia="仿宋" w:cs="Times New Roman"/>
          <w:sz w:val="28"/>
          <w:szCs w:val="28"/>
        </w:rPr>
        <w:t>腐蚀环境选择在</w:t>
      </w:r>
      <w:r>
        <w:rPr>
          <w:rFonts w:hint="eastAsia" w:ascii="Times New Roman" w:hAnsi="Times New Roman" w:eastAsia="仿宋" w:cs="Times New Roman"/>
          <w:sz w:val="28"/>
          <w:szCs w:val="28"/>
        </w:rPr>
        <w:t>0.9%氯化钠的等渗水溶液</w:t>
      </w:r>
      <w:r>
        <w:rPr>
          <w:rFonts w:ascii="Times New Roman" w:hAnsi="Times New Roman" w:eastAsia="仿宋" w:cs="Times New Roman"/>
          <w:sz w:val="28"/>
          <w:szCs w:val="28"/>
        </w:rPr>
        <w:t>中恒温37±</w:t>
      </w:r>
      <w:r>
        <w:rPr>
          <w:rFonts w:hint="eastAsia" w:ascii="Times New Roman" w:hAnsi="Times New Roman" w:eastAsia="仿宋" w:cs="Times New Roman"/>
          <w:sz w:val="28"/>
          <w:szCs w:val="28"/>
        </w:rPr>
        <w:t>1</w:t>
      </w:r>
      <w:r>
        <w:rPr>
          <w:rFonts w:ascii="Times New Roman" w:hAnsi="Times New Roman" w:eastAsia="仿宋" w:cs="Times New Roman"/>
          <w:sz w:val="28"/>
          <w:szCs w:val="28"/>
        </w:rPr>
        <w:t>℃。</w:t>
      </w:r>
      <w:r>
        <w:rPr>
          <w:rFonts w:hint="eastAsia" w:ascii="Times New Roman" w:hAnsi="Times New Roman" w:eastAsia="仿宋" w:cs="Times New Roman"/>
          <w:sz w:val="28"/>
          <w:szCs w:val="28"/>
        </w:rPr>
        <w:t>可降解镁锌锰合金材料降解产生的适量</w:t>
      </w:r>
      <w:r>
        <w:rPr>
          <w:rFonts w:hint="eastAsia" w:ascii="仿宋" w:hAnsi="仿宋" w:eastAsia="仿宋" w:cs="仿宋"/>
          <w:sz w:val="28"/>
          <w:szCs w:val="28"/>
        </w:rPr>
        <w:t>氢气（</w:t>
      </w:r>
      <w:r>
        <w:rPr>
          <w:rFonts w:hint="eastAsia" w:ascii="Times New Roman" w:hAnsi="Times New Roman" w:eastAsia="仿宋" w:cs="Times New Roman"/>
          <w:sz w:val="28"/>
          <w:szCs w:val="28"/>
        </w:rPr>
        <w:t>H</w:t>
      </w:r>
      <w:r>
        <w:rPr>
          <w:rFonts w:ascii="Cambria Math" w:hAnsi="Cambria Math" w:eastAsia="仿宋" w:cs="Cambria Math"/>
          <w:sz w:val="28"/>
          <w:szCs w:val="28"/>
        </w:rPr>
        <w:t>₂</w:t>
      </w:r>
      <w:r>
        <w:rPr>
          <w:rFonts w:hint="eastAsia" w:ascii="仿宋" w:hAnsi="仿宋" w:eastAsia="仿宋" w:cs="仿宋"/>
          <w:sz w:val="28"/>
          <w:szCs w:val="28"/>
        </w:rPr>
        <w:t>）、镁离子（</w:t>
      </w:r>
      <w:r>
        <w:rPr>
          <w:rFonts w:hint="eastAsia" w:ascii="Times New Roman" w:hAnsi="Times New Roman" w:eastAsia="仿宋" w:cs="Times New Roman"/>
          <w:sz w:val="28"/>
          <w:szCs w:val="28"/>
        </w:rPr>
        <w:t>Mg</w:t>
      </w:r>
      <w:r>
        <w:rPr>
          <w:rFonts w:ascii="Calibri" w:hAnsi="Calibri" w:eastAsia="仿宋" w:cs="Calibri"/>
          <w:sz w:val="28"/>
          <w:szCs w:val="28"/>
        </w:rPr>
        <w:t>²⁺</w:t>
      </w:r>
      <w:r>
        <w:rPr>
          <w:rFonts w:hint="eastAsia" w:ascii="仿宋" w:hAnsi="仿宋" w:eastAsia="仿宋" w:cs="仿宋"/>
          <w:sz w:val="28"/>
          <w:szCs w:val="28"/>
        </w:rPr>
        <w:t>）和碱性</w:t>
      </w:r>
      <w:r>
        <w:rPr>
          <w:rFonts w:hint="eastAsia" w:ascii="Times New Roman" w:hAnsi="Times New Roman" w:eastAsia="仿宋" w:cs="Times New Roman"/>
          <w:sz w:val="28"/>
          <w:szCs w:val="28"/>
        </w:rPr>
        <w:t>pH环境各自对骨再生增强产生很好的效果，通过骨骼内感受调节以不同且协同的方式可以加速骨再生。但是由于镁</w:t>
      </w:r>
      <w:r>
        <w:rPr>
          <w:rFonts w:ascii="Times New Roman" w:hAnsi="Times New Roman" w:eastAsia="仿宋" w:cs="Times New Roman"/>
          <w:sz w:val="28"/>
          <w:szCs w:val="28"/>
        </w:rPr>
        <w:t>在人体</w:t>
      </w:r>
      <w:r>
        <w:rPr>
          <w:rFonts w:hint="eastAsia" w:ascii="Times New Roman" w:hAnsi="Times New Roman" w:eastAsia="仿宋" w:cs="Times New Roman"/>
          <w:sz w:val="28"/>
          <w:szCs w:val="28"/>
        </w:rPr>
        <w:t>体液</w:t>
      </w:r>
      <w:r>
        <w:rPr>
          <w:rFonts w:ascii="Times New Roman" w:hAnsi="Times New Roman" w:eastAsia="仿宋" w:cs="Times New Roman"/>
          <w:sz w:val="28"/>
          <w:szCs w:val="28"/>
        </w:rPr>
        <w:t>环境中</w:t>
      </w:r>
      <w:r>
        <w:rPr>
          <w:rFonts w:hint="eastAsia" w:ascii="Times New Roman" w:hAnsi="Times New Roman" w:eastAsia="仿宋" w:cs="Times New Roman"/>
          <w:sz w:val="28"/>
          <w:szCs w:val="28"/>
        </w:rPr>
        <w:t>，其腐蚀</w:t>
      </w:r>
      <w:r>
        <w:rPr>
          <w:rFonts w:ascii="Times New Roman" w:hAnsi="Times New Roman" w:eastAsia="仿宋" w:cs="Times New Roman"/>
          <w:sz w:val="28"/>
          <w:szCs w:val="28"/>
        </w:rPr>
        <w:t>降解得太快，</w:t>
      </w:r>
      <w:r>
        <w:rPr>
          <w:rFonts w:hint="eastAsia" w:ascii="Times New Roman" w:hAnsi="Times New Roman" w:eastAsia="仿宋" w:cs="Times New Roman"/>
          <w:sz w:val="28"/>
          <w:szCs w:val="28"/>
        </w:rPr>
        <w:t>会</w:t>
      </w:r>
      <w:r>
        <w:rPr>
          <w:rFonts w:ascii="Times New Roman" w:hAnsi="Times New Roman" w:eastAsia="仿宋" w:cs="Times New Roman"/>
          <w:sz w:val="28"/>
          <w:szCs w:val="28"/>
        </w:rPr>
        <w:t>导致氢的过度释放和强度的过早丧失</w:t>
      </w:r>
      <w:r>
        <w:rPr>
          <w:rFonts w:hint="eastAsia" w:ascii="Times New Roman" w:hAnsi="Times New Roman" w:eastAsia="仿宋" w:cs="Times New Roman"/>
          <w:sz w:val="28"/>
          <w:szCs w:val="28"/>
        </w:rPr>
        <w:t>，也会导致血液中氢含量过高，影响血液中氧含量、心脏及</w:t>
      </w:r>
      <w:r>
        <w:rPr>
          <w:rFonts w:ascii="Times New Roman" w:hAnsi="Times New Roman" w:eastAsia="仿宋" w:cs="Times New Roman"/>
          <w:sz w:val="28"/>
          <w:szCs w:val="28"/>
        </w:rPr>
        <w:t>中枢</w:t>
      </w:r>
      <w:r>
        <w:rPr>
          <w:rFonts w:hint="eastAsia" w:ascii="Times New Roman" w:hAnsi="Times New Roman" w:eastAsia="仿宋" w:cs="Times New Roman"/>
          <w:sz w:val="28"/>
          <w:szCs w:val="28"/>
        </w:rPr>
        <w:t>神经。同时，对于骨植入材料而言，要求材料植入的不同时期其降解的速率是不太一样的，一般来说。在降解前期要求材料的降解比较慢，随着时间的增加，材料降解的速率将会逐步增加。为更为合理有效的评估镁合金材料在0.9%生理盐水中降解性能，对镁合金降解过程中析氢量和降解过程中不同时期的降解质量损失比进行要求。</w:t>
      </w:r>
    </w:p>
    <w:p w14:paraId="205267CF">
      <w:pPr>
        <w:snapToGrid w:val="0"/>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表5 可降解镁锌锰合金降解性能</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638"/>
        <w:gridCol w:w="2373"/>
        <w:gridCol w:w="2410"/>
      </w:tblGrid>
      <w:tr w14:paraId="05B7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6" w:type="pct"/>
            <w:vAlign w:val="center"/>
          </w:tcPr>
          <w:p w14:paraId="489FEFEA">
            <w:pPr>
              <w:snapToGrid w:val="0"/>
              <w:spacing w:line="360" w:lineRule="auto"/>
              <w:jc w:val="center"/>
              <w:rPr>
                <w:rFonts w:ascii="Times New Roman" w:hAnsi="Times New Roman" w:eastAsia="宋体" w:cs="Times New Roman"/>
                <w:kern w:val="0"/>
                <w:sz w:val="21"/>
                <w:szCs w:val="21"/>
              </w:rPr>
            </w:pPr>
            <w:bookmarkStart w:id="7" w:name="_Hlk201677375"/>
            <w:r>
              <w:rPr>
                <w:rFonts w:ascii="Times New Roman" w:hAnsi="Times New Roman" w:eastAsia="宋体" w:cs="Times New Roman"/>
                <w:kern w:val="0"/>
                <w:sz w:val="21"/>
                <w:szCs w:val="21"/>
              </w:rPr>
              <w:t>形态</w:t>
            </w:r>
          </w:p>
        </w:tc>
        <w:tc>
          <w:tcPr>
            <w:tcW w:w="1548" w:type="pct"/>
            <w:vAlign w:val="center"/>
          </w:tcPr>
          <w:p w14:paraId="3AC3AE6A">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降解过程中析氢量/ ml/h/cm</w:t>
            </w:r>
            <w:r>
              <w:rPr>
                <w:rFonts w:ascii="Times New Roman" w:hAnsi="Times New Roman" w:eastAsia="宋体" w:cs="Times New Roman"/>
                <w:kern w:val="0"/>
                <w:sz w:val="21"/>
                <w:szCs w:val="21"/>
                <w:vertAlign w:val="superscript"/>
              </w:rPr>
              <w:t>2</w:t>
            </w:r>
          </w:p>
        </w:tc>
        <w:tc>
          <w:tcPr>
            <w:tcW w:w="1392" w:type="pct"/>
            <w:vAlign w:val="center"/>
          </w:tcPr>
          <w:p w14:paraId="0006DA26">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浸泡90天降解质量损失比</w:t>
            </w:r>
          </w:p>
        </w:tc>
        <w:tc>
          <w:tcPr>
            <w:tcW w:w="1415" w:type="pct"/>
            <w:vAlign w:val="center"/>
          </w:tcPr>
          <w:p w14:paraId="66C3EF1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浸泡365天降解质量损失比</w:t>
            </w:r>
          </w:p>
        </w:tc>
      </w:tr>
      <w:tr w14:paraId="1168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6" w:type="pct"/>
            <w:vAlign w:val="center"/>
          </w:tcPr>
          <w:p w14:paraId="663D64A2">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棒材</w:t>
            </w:r>
          </w:p>
        </w:tc>
        <w:tc>
          <w:tcPr>
            <w:tcW w:w="1548" w:type="pct"/>
            <w:vAlign w:val="center"/>
          </w:tcPr>
          <w:p w14:paraId="5C4A8AB8">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≤0.025</w:t>
            </w:r>
          </w:p>
        </w:tc>
        <w:tc>
          <w:tcPr>
            <w:tcW w:w="1392" w:type="pct"/>
            <w:vAlign w:val="center"/>
          </w:tcPr>
          <w:p w14:paraId="32B895F4">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w:t>
            </w:r>
          </w:p>
        </w:tc>
        <w:tc>
          <w:tcPr>
            <w:tcW w:w="1415" w:type="pct"/>
            <w:vAlign w:val="center"/>
          </w:tcPr>
          <w:p w14:paraId="1252E6A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≥80%</w:t>
            </w:r>
          </w:p>
        </w:tc>
      </w:tr>
      <w:tr w14:paraId="2F2A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6" w:type="pct"/>
            <w:vAlign w:val="center"/>
          </w:tcPr>
          <w:p w14:paraId="62C08F1A">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板材</w:t>
            </w:r>
          </w:p>
        </w:tc>
        <w:tc>
          <w:tcPr>
            <w:tcW w:w="1548" w:type="pct"/>
            <w:vAlign w:val="center"/>
          </w:tcPr>
          <w:p w14:paraId="103EBEBA">
            <w:pPr>
              <w:snapToGrid w:val="0"/>
              <w:spacing w:line="360" w:lineRule="auto"/>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≤0.025</w:t>
            </w:r>
          </w:p>
        </w:tc>
        <w:tc>
          <w:tcPr>
            <w:tcW w:w="1392" w:type="pct"/>
            <w:vAlign w:val="center"/>
          </w:tcPr>
          <w:p w14:paraId="522796B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≤10%</w:t>
            </w:r>
          </w:p>
        </w:tc>
        <w:tc>
          <w:tcPr>
            <w:tcW w:w="1415" w:type="pct"/>
            <w:vAlign w:val="center"/>
          </w:tcPr>
          <w:p w14:paraId="2456C0B0">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≥65%</w:t>
            </w:r>
          </w:p>
        </w:tc>
      </w:tr>
      <w:bookmarkEnd w:id="7"/>
    </w:tbl>
    <w:p w14:paraId="5188201F">
      <w:pPr>
        <w:snapToGrid w:val="0"/>
        <w:spacing w:line="360" w:lineRule="auto"/>
        <w:ind w:firstLine="560" w:firstLineChars="200"/>
        <w:rPr>
          <w:rFonts w:ascii="Times New Roman" w:hAnsi="Times New Roman" w:eastAsia="仿宋" w:cs="Times New Roman"/>
          <w:color w:val="EE0000"/>
          <w:sz w:val="28"/>
          <w:szCs w:val="28"/>
        </w:rPr>
      </w:pPr>
    </w:p>
    <w:p w14:paraId="5F10632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本标准规定了外科植入物新型可降解镁锌锰合金骨植入材料的生物相容性要求。要求可降解镁锌锰合金材料生物相容性应符合GB/T16886.1-2022对于生物学评价的相关规定.</w:t>
      </w:r>
    </w:p>
    <w:p w14:paraId="1D5EA7C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本标准规定了外科植入物新型可降解镁锌锰合金骨植入材料的材料硬度≥40HV。</w:t>
      </w:r>
    </w:p>
    <w:p w14:paraId="0C9B4A3D">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（四）试验方法</w:t>
      </w:r>
    </w:p>
    <w:p w14:paraId="3F0F22F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在规定了外科植入物新型可降解镁锌锰合金骨植入材料的相关性能标准之外，也对相关材料性能的试验方法进行了规定。试验方法中有相关国家标准的均采用相关标准中规定进行，没有相关标准的制定相应的检测方法进行。</w:t>
      </w:r>
    </w:p>
    <w:p w14:paraId="3FD77622">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本标准规定外科植入物新型可降解镁锌锰合金骨植入材料的化学成分分析方法应符合GB/T 13748的规定。其中，Zn含量按照GB/T 13748.15-2013中要求采用原子吸收光谱法进行测量；Mn含量按照GB/T 13748.4-2013中要求采用分光光度法进行测量；Si含量按照GB/T 13748.10-2013中要求采用钼蓝分光光度法进行测量；Al含量按照GB/T 13748.1-2013中要求采用原子吸收光谱法进行测量；Fe含量按照GB/T 13748.9-2013中要求采用分光光度法进行测量；Cu含量按照GB/T 13748.12-2013中低含量铜要求采用分光光度法进行测量；Ni含量按照GB/T 13748.14-2013中要求采用分光光度法进行测量；其他含量GB/T 13748.20-2024中要求采用ICP-AES法进行测量。</w:t>
      </w:r>
    </w:p>
    <w:p w14:paraId="6F23EB74">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本标准规定外科植入物新型可降解镁锌锰合金骨植入材料的直径与厚度用相应精度的量具进行测量。其他尺寸及外形用钢板尺、卷尺或专用工具检测。其他尺寸偏差采用相应精度的量具进行测量。</w:t>
      </w:r>
    </w:p>
    <w:p w14:paraId="0FEECC5B">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本标准规定外科植入物新型可降解镁锌锰合金骨植入材料表面质量按照GB/T 20967-2007规定采用目视法进行检查，主要检查材料表面清洁程度，查看有无裂纹、起皮、气泡、分层和各种夹杂压入。对不能确定深度的缺陷可以进行修磨，必须保证修磨后的毛细管材不超出允许偏差。超声波探伤检测采用GB/T 6519-2024的相关规定进行。</w:t>
      </w:r>
    </w:p>
    <w:p w14:paraId="78CE77D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本标准规定外科植入物新型可降解镁锌锰合金骨植入材料的显微组织与晶粒度按GB/T 4296-2022的规定进行。</w:t>
      </w:r>
    </w:p>
    <w:p w14:paraId="70D80DA8">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w:t>
      </w:r>
      <w:r>
        <w:rPr>
          <w:rFonts w:ascii="Times New Roman" w:hAnsi="Times New Roman" w:eastAsia="仿宋" w:cs="Times New Roman"/>
          <w:sz w:val="28"/>
          <w:szCs w:val="28"/>
        </w:rPr>
        <w:t>温室力学性能试验按照GB/T 228.1</w:t>
      </w:r>
      <w:r>
        <w:rPr>
          <w:rFonts w:hint="eastAsia" w:ascii="Times New Roman" w:hAnsi="Times New Roman" w:eastAsia="仿宋" w:cs="Times New Roman"/>
          <w:sz w:val="28"/>
          <w:szCs w:val="28"/>
        </w:rPr>
        <w:t>-2021</w:t>
      </w:r>
      <w:r>
        <w:rPr>
          <w:rFonts w:ascii="Times New Roman" w:hAnsi="Times New Roman" w:eastAsia="仿宋" w:cs="Times New Roman"/>
          <w:sz w:val="28"/>
          <w:szCs w:val="28"/>
        </w:rPr>
        <w:t>的规定进行</w:t>
      </w:r>
      <w:r>
        <w:rPr>
          <w:rFonts w:hint="eastAsia" w:ascii="Times New Roman" w:hAnsi="Times New Roman" w:eastAsia="仿宋" w:cs="Times New Roman"/>
          <w:sz w:val="28"/>
          <w:szCs w:val="28"/>
        </w:rPr>
        <w:t>，材料弹性模量试验按照</w:t>
      </w:r>
      <w:r>
        <w:rPr>
          <w:rFonts w:ascii="Times New Roman" w:hAnsi="Times New Roman" w:eastAsia="仿宋" w:cs="Times New Roman"/>
          <w:sz w:val="28"/>
          <w:szCs w:val="28"/>
        </w:rPr>
        <w:t>GB/T 3354-2018</w:t>
      </w:r>
      <w:r>
        <w:rPr>
          <w:rFonts w:hint="eastAsia" w:ascii="Times New Roman" w:hAnsi="Times New Roman" w:eastAsia="仿宋" w:cs="Times New Roman"/>
          <w:sz w:val="28"/>
          <w:szCs w:val="28"/>
        </w:rPr>
        <w:t>的规定进行。</w:t>
      </w:r>
    </w:p>
    <w:p w14:paraId="214110BF">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本标准规定外科植入物新型可降解镁锌锰合金骨植入材料的降解性能测试方法如下：</w:t>
      </w:r>
    </w:p>
    <w:p w14:paraId="42301114">
      <w:pPr>
        <w:snapToGri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镁合金降解过程中析氢量</w:t>
      </w:r>
      <w:r>
        <w:rPr>
          <w:rFonts w:hint="eastAsia" w:ascii="Times New Roman" w:hAnsi="Times New Roman" w:eastAsia="仿宋" w:cs="Times New Roman"/>
          <w:sz w:val="28"/>
          <w:szCs w:val="28"/>
        </w:rPr>
        <w:t>试验方法：浸泡实验按照GB/T 16886.15的规定进行。模拟降解腐蚀反应过程中，通过析氢测试装置对反应时间内样品的析氢情况进行测试，记录反应时间内的析氢总量。</w:t>
      </w:r>
    </w:p>
    <w:p w14:paraId="62091BDD">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然后通过相应的析氢速率计算公式计算出</w:t>
      </w:r>
      <w:r>
        <w:rPr>
          <w:rFonts w:ascii="Times New Roman" w:hAnsi="Times New Roman" w:eastAsia="仿宋" w:cs="Times New Roman"/>
          <w:sz w:val="28"/>
          <w:szCs w:val="28"/>
        </w:rPr>
        <w:t>可降解镁锌锰合金</w:t>
      </w:r>
      <w:r>
        <w:rPr>
          <w:rFonts w:hint="eastAsia" w:ascii="Times New Roman" w:hAnsi="Times New Roman" w:eastAsia="仿宋" w:cs="Times New Roman"/>
          <w:sz w:val="28"/>
          <w:szCs w:val="28"/>
        </w:rPr>
        <w:t>骨植入</w:t>
      </w:r>
      <w:r>
        <w:rPr>
          <w:rFonts w:ascii="Times New Roman" w:hAnsi="Times New Roman" w:eastAsia="仿宋" w:cs="Times New Roman"/>
          <w:sz w:val="28"/>
          <w:szCs w:val="28"/>
        </w:rPr>
        <w:t>材料</w:t>
      </w:r>
      <w:r>
        <w:rPr>
          <w:rFonts w:hint="eastAsia" w:ascii="Times New Roman" w:hAnsi="Times New Roman" w:eastAsia="仿宋" w:cs="Times New Roman"/>
          <w:sz w:val="28"/>
          <w:szCs w:val="28"/>
        </w:rPr>
        <w:t>的析氢速率。析氢速率的计算公式如下：</w:t>
      </w:r>
    </w:p>
    <w:p w14:paraId="127ECB79">
      <w:pPr>
        <w:snapToGrid w:val="0"/>
        <w:spacing w:line="360" w:lineRule="auto"/>
        <w:ind w:firstLine="560" w:firstLineChars="200"/>
        <w:rPr>
          <w:rFonts w:ascii="Times New Roman" w:hAnsi="Times New Roman" w:eastAsia="仿宋" w:cs="Times New Roman"/>
          <w:sz w:val="28"/>
          <w:szCs w:val="28"/>
        </w:rPr>
      </w:pPr>
      <m:oMathPara>
        <m:oMath>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v</m:t>
              </m:r>
              <m:ctrlPr>
                <w:rPr>
                  <w:rFonts w:ascii="Cambria Math" w:hAnsi="Cambria Math" w:eastAsia="仿宋" w:cs="Times New Roman"/>
                  <w:sz w:val="28"/>
                  <w:szCs w:val="28"/>
                </w:rPr>
              </m:ctrlPr>
            </m:e>
            <m:sub>
              <m:r>
                <m:rPr/>
                <w:rPr>
                  <w:rFonts w:hint="eastAsia" w:ascii="Cambria Math" w:hAnsi="Cambria Math" w:eastAsia="仿宋" w:cs="Times New Roman"/>
                  <w:sz w:val="28"/>
                  <w:szCs w:val="28"/>
                </w:rPr>
                <m:t>H</m:t>
              </m:r>
              <m:ctrlPr>
                <w:rPr>
                  <w:rFonts w:ascii="Cambria Math" w:hAnsi="Cambria Math" w:eastAsia="仿宋" w:cs="Times New Roman"/>
                  <w:sz w:val="28"/>
                  <w:szCs w:val="28"/>
                </w:rPr>
              </m:ctrlPr>
            </m:sub>
          </m:sSub>
          <m:r>
            <m:rPr>
              <m:sty m:val="p"/>
            </m:rPr>
            <w:rPr>
              <w:rFonts w:ascii="Cambria Math" w:hAnsi="Cambria Math" w:eastAsia="仿宋" w:cs="Times New Roman"/>
              <w:sz w:val="28"/>
              <w:szCs w:val="28"/>
            </w:rPr>
            <m:t>=</m:t>
          </m:r>
          <m:f>
            <m:fPr>
              <m:ctrlPr>
                <w:rPr>
                  <w:rFonts w:ascii="Cambria Math" w:hAnsi="Cambria Math" w:eastAsia="仿宋" w:cs="Times New Roman"/>
                  <w:sz w:val="28"/>
                  <w:szCs w:val="28"/>
                </w:rPr>
              </m:ctrlPr>
            </m:fPr>
            <m:num>
              <m:r>
                <m:rPr>
                  <m:sty m:val="p"/>
                </m:rPr>
                <w:rPr>
                  <w:rFonts w:hint="eastAsia" w:ascii="Cambria Math" w:hAnsi="Cambria Math" w:eastAsia="仿宋" w:cs="Times New Roman"/>
                  <w:sz w:val="28"/>
                  <w:szCs w:val="28"/>
                </w:rPr>
                <m:t>V</m:t>
              </m:r>
              <m:ctrlPr>
                <w:rPr>
                  <w:rFonts w:ascii="Cambria Math" w:hAnsi="Cambria Math" w:eastAsia="仿宋" w:cs="Times New Roman"/>
                  <w:sz w:val="28"/>
                  <w:szCs w:val="28"/>
                </w:rPr>
              </m:ctrlPr>
            </m:num>
            <m:den>
              <m:r>
                <m:rPr>
                  <m:sty m:val="p"/>
                </m:rPr>
                <w:rPr>
                  <w:rFonts w:hint="eastAsia" w:ascii="Cambria Math" w:hAnsi="Cambria Math" w:eastAsia="仿宋" w:cs="Times New Roman"/>
                  <w:sz w:val="28"/>
                  <w:szCs w:val="28"/>
                </w:rPr>
                <m:t>t×S</m:t>
              </m:r>
              <m:ctrlPr>
                <w:rPr>
                  <w:rFonts w:ascii="Cambria Math" w:hAnsi="Cambria Math" w:eastAsia="仿宋" w:cs="Times New Roman"/>
                  <w:sz w:val="28"/>
                  <w:szCs w:val="28"/>
                </w:rPr>
              </m:ctrlPr>
            </m:den>
          </m:f>
        </m:oMath>
      </m:oMathPara>
    </w:p>
    <w:p w14:paraId="2550A0C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其中，</w:t>
      </w:r>
      <m:oMath>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v</m:t>
            </m:r>
            <m:ctrlPr>
              <w:rPr>
                <w:rFonts w:ascii="Cambria Math" w:hAnsi="Cambria Math" w:eastAsia="仿宋" w:cs="Times New Roman"/>
                <w:sz w:val="28"/>
                <w:szCs w:val="28"/>
              </w:rPr>
            </m:ctrlPr>
          </m:e>
          <m:sub>
            <m:r>
              <m:rPr/>
              <w:rPr>
                <w:rFonts w:hint="eastAsia" w:ascii="Cambria Math" w:hAnsi="Cambria Math" w:eastAsia="仿宋" w:cs="Times New Roman"/>
                <w:sz w:val="28"/>
                <w:szCs w:val="28"/>
              </w:rPr>
              <m:t>H</m:t>
            </m:r>
            <m:ctrlPr>
              <w:rPr>
                <w:rFonts w:ascii="Cambria Math" w:hAnsi="Cambria Math" w:eastAsia="仿宋" w:cs="Times New Roman"/>
                <w:sz w:val="28"/>
                <w:szCs w:val="28"/>
              </w:rPr>
            </m:ctrlPr>
          </m:sub>
        </m:sSub>
      </m:oMath>
      <w:r>
        <w:rPr>
          <w:rFonts w:hint="eastAsia" w:ascii="Times New Roman" w:hAnsi="Times New Roman" w:eastAsia="仿宋" w:cs="Times New Roman"/>
          <w:sz w:val="28"/>
          <w:szCs w:val="28"/>
        </w:rPr>
        <w:t>——析氢速率</w:t>
      </w:r>
      <w:r>
        <w:rPr>
          <w:rFonts w:ascii="Times New Roman" w:hAnsi="Times New Roman" w:eastAsia="仿宋" w:cs="Times New Roman"/>
          <w:sz w:val="28"/>
          <w:szCs w:val="28"/>
        </w:rPr>
        <w:t>（ml</w:t>
      </w:r>
      <w:r>
        <w:rPr>
          <w:rFonts w:hint="eastAsia" w:ascii="Times New Roman" w:hAnsi="Times New Roman" w:eastAsia="仿宋" w:cs="Times New Roman"/>
          <w:sz w:val="28"/>
          <w:szCs w:val="28"/>
        </w:rPr>
        <w:t>/</w:t>
      </w:r>
      <w:r>
        <w:rPr>
          <w:rFonts w:ascii="Times New Roman" w:hAnsi="Times New Roman" w:eastAsia="仿宋" w:cs="Times New Roman"/>
          <w:sz w:val="28"/>
          <w:szCs w:val="28"/>
        </w:rPr>
        <w:t>h</w:t>
      </w:r>
      <w:r>
        <w:rPr>
          <w:rFonts w:hint="eastAsia" w:ascii="Times New Roman" w:hAnsi="Times New Roman" w:eastAsia="仿宋" w:cs="Times New Roman"/>
          <w:sz w:val="28"/>
          <w:szCs w:val="28"/>
        </w:rPr>
        <w:t>/</w:t>
      </w:r>
      <w:r>
        <w:rPr>
          <w:rFonts w:ascii="Times New Roman" w:hAnsi="Times New Roman" w:eastAsia="仿宋" w:cs="Times New Roman"/>
          <w:sz w:val="28"/>
          <w:szCs w:val="28"/>
        </w:rPr>
        <w:t>cm</w:t>
      </w:r>
      <w:r>
        <w:rPr>
          <w:rFonts w:hint="eastAsia" w:ascii="Times New Roman" w:hAnsi="Times New Roman" w:eastAsia="仿宋" w:cs="Times New Roman"/>
          <w:sz w:val="28"/>
          <w:szCs w:val="28"/>
          <w:vertAlign w:val="superscript"/>
        </w:rPr>
        <w:t>2</w:t>
      </w:r>
      <w:r>
        <w:rPr>
          <w:rFonts w:ascii="Times New Roman" w:hAnsi="Times New Roman" w:eastAsia="仿宋" w:cs="Times New Roman"/>
          <w:sz w:val="28"/>
          <w:szCs w:val="28"/>
        </w:rPr>
        <w:t>）</w:t>
      </w:r>
      <w:r>
        <w:rPr>
          <w:rFonts w:hint="eastAsia" w:ascii="Times New Roman" w:hAnsi="Times New Roman" w:eastAsia="仿宋" w:cs="Times New Roman"/>
          <w:sz w:val="28"/>
          <w:szCs w:val="28"/>
        </w:rPr>
        <w:t>；</w:t>
      </w:r>
    </w:p>
    <w:p w14:paraId="213582A9">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m:oMath>
        <m:r>
          <m:rPr>
            <m:sty m:val="p"/>
          </m:rPr>
          <w:rPr>
            <w:rFonts w:hint="eastAsia" w:ascii="Cambria Math" w:hAnsi="Cambria Math" w:eastAsia="仿宋" w:cs="Times New Roman"/>
            <w:sz w:val="28"/>
            <w:szCs w:val="28"/>
          </w:rPr>
          <m:t>V</m:t>
        </m:r>
      </m:oMath>
      <w:r>
        <w:rPr>
          <w:rFonts w:hint="eastAsia" w:ascii="Times New Roman" w:hAnsi="Times New Roman" w:eastAsia="仿宋" w:cs="Times New Roman"/>
          <w:sz w:val="28"/>
          <w:szCs w:val="28"/>
        </w:rPr>
        <w:t>——反应时间内的析氢总量（ml）；</w:t>
      </w:r>
    </w:p>
    <w:p w14:paraId="1CE24AFD">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m:oMath>
        <m:r>
          <m:rPr>
            <m:sty m:val="p"/>
          </m:rPr>
          <w:rPr>
            <w:rFonts w:ascii="Cambria Math" w:hAnsi="Cambria Math" w:eastAsia="仿宋" w:cs="Times New Roman"/>
            <w:sz w:val="28"/>
            <w:szCs w:val="28"/>
          </w:rPr>
          <m:t>t</m:t>
        </m:r>
      </m:oMath>
      <w:r>
        <w:rPr>
          <w:rFonts w:hint="eastAsia" w:ascii="Times New Roman" w:hAnsi="Times New Roman" w:eastAsia="仿宋" w:cs="Times New Roman"/>
          <w:sz w:val="28"/>
          <w:szCs w:val="28"/>
        </w:rPr>
        <w:t>——析氢反应时间（h）；</w:t>
      </w:r>
    </w:p>
    <w:p w14:paraId="30638B3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m:oMath>
        <m:r>
          <m:rPr>
            <m:sty m:val="p"/>
          </m:rPr>
          <w:rPr>
            <w:rFonts w:hint="eastAsia" w:ascii="Cambria Math" w:hAnsi="Cambria Math" w:eastAsia="仿宋" w:cs="Times New Roman"/>
            <w:sz w:val="28"/>
            <w:szCs w:val="28"/>
          </w:rPr>
          <m:t>S</m:t>
        </m:r>
      </m:oMath>
      <w:r>
        <w:rPr>
          <w:rFonts w:hint="eastAsia" w:ascii="Times New Roman" w:hAnsi="Times New Roman" w:eastAsia="仿宋" w:cs="Times New Roman"/>
          <w:sz w:val="28"/>
          <w:szCs w:val="28"/>
        </w:rPr>
        <w:t>——样品参与反应面积（cm</w:t>
      </w:r>
      <w:r>
        <w:rPr>
          <w:rFonts w:hint="eastAsia" w:ascii="Times New Roman" w:hAnsi="Times New Roman" w:eastAsia="仿宋" w:cs="Times New Roman"/>
          <w:sz w:val="28"/>
          <w:szCs w:val="28"/>
          <w:vertAlign w:val="superscript"/>
        </w:rPr>
        <w:t>2</w:t>
      </w:r>
      <w:r>
        <w:rPr>
          <w:rFonts w:hint="eastAsia" w:ascii="Times New Roman" w:hAnsi="Times New Roman" w:eastAsia="仿宋" w:cs="Times New Roman"/>
          <w:sz w:val="28"/>
          <w:szCs w:val="28"/>
        </w:rPr>
        <w:t>）。</w:t>
      </w:r>
    </w:p>
    <w:p w14:paraId="75E0F63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另外，</w:t>
      </w:r>
      <w:r>
        <w:rPr>
          <w:rFonts w:ascii="Times New Roman" w:hAnsi="Times New Roman" w:eastAsia="仿宋" w:cs="Times New Roman"/>
          <w:sz w:val="28"/>
          <w:szCs w:val="28"/>
        </w:rPr>
        <w:t>镁合金降解过程中</w:t>
      </w:r>
      <w:r>
        <w:rPr>
          <w:rFonts w:hint="eastAsia" w:ascii="Times New Roman" w:hAnsi="Times New Roman" w:eastAsia="仿宋" w:cs="Times New Roman"/>
          <w:sz w:val="28"/>
          <w:szCs w:val="28"/>
        </w:rPr>
        <w:t>降解质量比的试验方法：浸泡实验按照GB/T 16886.15的规定进行。</w:t>
      </w:r>
      <w:r>
        <w:rPr>
          <w:rFonts w:ascii="Times New Roman" w:hAnsi="Times New Roman" w:eastAsia="仿宋" w:cs="Times New Roman"/>
          <w:sz w:val="28"/>
          <w:szCs w:val="28"/>
        </w:rPr>
        <w:t>使用重量法对质量损失进行表征。</w:t>
      </w:r>
      <w:r>
        <w:rPr>
          <w:rFonts w:hint="eastAsia" w:ascii="Times New Roman" w:hAnsi="Times New Roman" w:eastAsia="仿宋" w:cs="Times New Roman"/>
          <w:sz w:val="28"/>
          <w:szCs w:val="28"/>
        </w:rPr>
        <w:t>质量损失的计算公式如下：</w:t>
      </w:r>
    </w:p>
    <w:p w14:paraId="52520354">
      <w:pPr>
        <w:snapToGrid w:val="0"/>
        <w:spacing w:line="360" w:lineRule="auto"/>
        <w:ind w:firstLine="560" w:firstLineChars="200"/>
        <w:rPr>
          <w:rFonts w:ascii="Times New Roman" w:hAnsi="Times New Roman" w:eastAsia="仿宋" w:cs="Times New Roman"/>
          <w:sz w:val="28"/>
          <w:szCs w:val="28"/>
        </w:rPr>
      </w:pPr>
      <m:oMathPara>
        <m:oMath>
          <m:sSub>
            <m:sSubPr>
              <m:ctrlPr>
                <w:rPr>
                  <w:rFonts w:ascii="Cambria Math" w:hAnsi="Cambria Math" w:eastAsia="仿宋" w:cs="Times New Roman"/>
                  <w:sz w:val="28"/>
                  <w:szCs w:val="28"/>
                </w:rPr>
              </m:ctrlPr>
            </m:sSubPr>
            <m:e>
              <m:r>
                <m:rPr>
                  <m:sty m:val="p"/>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w:rPr>
                  <w:rFonts w:hint="eastAsia" w:ascii="Cambria Math" w:hAnsi="Cambria Math" w:eastAsia="仿宋" w:cs="Times New Roman"/>
                  <w:sz w:val="28"/>
                  <w:szCs w:val="28"/>
                </w:rPr>
                <m:t>loss</m:t>
              </m:r>
              <m:ctrlPr>
                <w:rPr>
                  <w:rFonts w:ascii="Cambria Math" w:hAnsi="Cambria Math" w:eastAsia="仿宋" w:cs="Times New Roman"/>
                  <w:sz w:val="28"/>
                  <w:szCs w:val="28"/>
                </w:rPr>
              </m:ctrlPr>
            </m:sub>
          </m:sSub>
          <m:r>
            <m:rPr>
              <m:sty m:val="p"/>
            </m:rPr>
            <w:rPr>
              <w:rFonts w:ascii="Cambria Math" w:hAnsi="Cambria Math" w:eastAsia="仿宋" w:cs="Times New Roman"/>
              <w:sz w:val="28"/>
              <w:szCs w:val="28"/>
            </w:rPr>
            <m:t>=</m:t>
          </m:r>
          <m:f>
            <m:fPr>
              <m:ctrlPr>
                <w:rPr>
                  <w:rFonts w:ascii="Cambria Math" w:hAnsi="Cambria Math" w:eastAsia="仿宋" w:cs="Times New Roman"/>
                  <w:sz w:val="28"/>
                  <w:szCs w:val="28"/>
                </w:rPr>
              </m:ctrlPr>
            </m:fPr>
            <m:num>
              <m:r>
                <m:rPr>
                  <m:sty m:val="p"/>
                </m:rPr>
                <w:rPr>
                  <w:rFonts w:hint="eastAsia" w:ascii="Cambria Math" w:hAnsi="Cambria Math" w:eastAsia="仿宋" w:cs="Times New Roman"/>
                  <w:sz w:val="28"/>
                  <w:szCs w:val="28"/>
                </w:rPr>
                <m:t>（</m:t>
              </m:r>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m:sty m:val="p"/>
                    </m:rPr>
                    <w:rPr>
                      <w:rFonts w:ascii="Cambria Math" w:hAnsi="Cambria Math" w:eastAsia="仿宋" w:cs="Times New Roman"/>
                      <w:sz w:val="28"/>
                      <w:szCs w:val="28"/>
                    </w:rPr>
                    <m:t>1</m:t>
                  </m:r>
                  <m:ctrlPr>
                    <w:rPr>
                      <w:rFonts w:ascii="Cambria Math" w:hAnsi="Cambria Math" w:eastAsia="仿宋" w:cs="Times New Roman"/>
                      <w:sz w:val="28"/>
                      <w:szCs w:val="28"/>
                    </w:rPr>
                  </m:ctrlPr>
                </m:sub>
              </m:sSub>
              <m:r>
                <m:rPr>
                  <m:sty m:val="p"/>
                </m:rPr>
                <w:rPr>
                  <w:rFonts w:ascii="Cambria Math" w:hAnsi="Cambria Math" w:eastAsia="仿宋" w:cs="Times New Roman"/>
                  <w:sz w:val="28"/>
                  <w:szCs w:val="28"/>
                </w:rPr>
                <m:t>−</m:t>
              </m:r>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m:sty m:val="p"/>
                    </m:rPr>
                    <w:rPr>
                      <w:rFonts w:ascii="Cambria Math" w:hAnsi="Cambria Math" w:eastAsia="仿宋" w:cs="Times New Roman"/>
                      <w:sz w:val="28"/>
                      <w:szCs w:val="28"/>
                    </w:rPr>
                    <m:t>2</m:t>
                  </m:r>
                  <m:ctrlPr>
                    <w:rPr>
                      <w:rFonts w:ascii="Cambria Math" w:hAnsi="Cambria Math" w:eastAsia="仿宋" w:cs="Times New Roman"/>
                      <w:sz w:val="28"/>
                      <w:szCs w:val="28"/>
                    </w:rPr>
                  </m:ctrlPr>
                </m:sub>
              </m:sSub>
              <m:r>
                <m:rPr>
                  <m:sty m:val="p"/>
                </m:rPr>
                <w:rPr>
                  <w:rFonts w:hint="eastAsia" w:ascii="Cambria Math" w:hAnsi="Cambria Math" w:eastAsia="仿宋" w:cs="Times New Roman"/>
                  <w:sz w:val="28"/>
                  <w:szCs w:val="28"/>
                </w:rPr>
                <m:t>）</m:t>
              </m:r>
              <m:ctrlPr>
                <w:rPr>
                  <w:rFonts w:ascii="Cambria Math" w:hAnsi="Cambria Math" w:eastAsia="仿宋" w:cs="Times New Roman"/>
                  <w:sz w:val="28"/>
                  <w:szCs w:val="28"/>
                </w:rPr>
              </m:ctrlPr>
            </m:num>
            <m:den>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m:sty m:val="p"/>
                    </m:rPr>
                    <w:rPr>
                      <w:rFonts w:ascii="Cambria Math" w:hAnsi="Cambria Math" w:eastAsia="仿宋" w:cs="Times New Roman"/>
                      <w:sz w:val="28"/>
                      <w:szCs w:val="28"/>
                    </w:rPr>
                    <m:t>1</m:t>
                  </m:r>
                  <m:ctrlPr>
                    <w:rPr>
                      <w:rFonts w:ascii="Cambria Math" w:hAnsi="Cambria Math" w:eastAsia="仿宋" w:cs="Times New Roman"/>
                      <w:sz w:val="28"/>
                      <w:szCs w:val="28"/>
                    </w:rPr>
                  </m:ctrlPr>
                </m:sub>
              </m:sSub>
              <m:ctrlPr>
                <w:rPr>
                  <w:rFonts w:ascii="Cambria Math" w:hAnsi="Cambria Math" w:eastAsia="仿宋" w:cs="Times New Roman"/>
                  <w:sz w:val="28"/>
                  <w:szCs w:val="28"/>
                </w:rPr>
              </m:ctrlPr>
            </m:den>
          </m:f>
          <m:r>
            <m:rPr>
              <m:sty m:val="p"/>
            </m:rPr>
            <w:rPr>
              <w:rFonts w:ascii="Cambria Math" w:hAnsi="Cambria Math" w:eastAsia="仿宋" w:cs="Times New Roman"/>
              <w:sz w:val="28"/>
              <w:szCs w:val="28"/>
            </w:rPr>
            <m:t>×100%</m:t>
          </m:r>
        </m:oMath>
      </m:oMathPara>
    </w:p>
    <w:p w14:paraId="2F5690A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其中，</w:t>
      </w:r>
      <m:oMath>
        <m:sSub>
          <m:sSubPr>
            <m:ctrlPr>
              <w:rPr>
                <w:rFonts w:ascii="Cambria Math" w:hAnsi="Cambria Math" w:eastAsia="仿宋" w:cs="Times New Roman"/>
                <w:sz w:val="28"/>
                <w:szCs w:val="28"/>
              </w:rPr>
            </m:ctrlPr>
          </m:sSubPr>
          <m:e>
            <m:r>
              <m:rPr>
                <m:sty m:val="p"/>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w:rPr>
                <w:rFonts w:hint="eastAsia" w:ascii="Cambria Math" w:hAnsi="Cambria Math" w:eastAsia="仿宋" w:cs="Times New Roman"/>
                <w:sz w:val="28"/>
                <w:szCs w:val="28"/>
              </w:rPr>
              <m:t>loss</m:t>
            </m:r>
            <m:ctrlPr>
              <w:rPr>
                <w:rFonts w:ascii="Cambria Math" w:hAnsi="Cambria Math" w:eastAsia="仿宋" w:cs="Times New Roman"/>
                <w:sz w:val="28"/>
                <w:szCs w:val="28"/>
              </w:rPr>
            </m:ctrlPr>
          </m:sub>
        </m:sSub>
      </m:oMath>
      <w:r>
        <w:rPr>
          <w:rFonts w:hint="eastAsia" w:ascii="Times New Roman" w:hAnsi="Times New Roman" w:eastAsia="仿宋" w:cs="Times New Roman"/>
          <w:sz w:val="28"/>
          <w:szCs w:val="28"/>
        </w:rPr>
        <w:t>——质量损失比；</w:t>
      </w:r>
    </w:p>
    <w:p w14:paraId="26F7EFB2">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m:oMath>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m:sty m:val="p"/>
              </m:rPr>
              <w:rPr>
                <w:rFonts w:ascii="Cambria Math" w:hAnsi="Cambria Math" w:eastAsia="仿宋" w:cs="Times New Roman"/>
                <w:sz w:val="28"/>
                <w:szCs w:val="28"/>
              </w:rPr>
              <m:t>1</m:t>
            </m:r>
            <m:ctrlPr>
              <w:rPr>
                <w:rFonts w:ascii="Cambria Math" w:hAnsi="Cambria Math" w:eastAsia="仿宋" w:cs="Times New Roman"/>
                <w:sz w:val="28"/>
                <w:szCs w:val="28"/>
              </w:rPr>
            </m:ctrlPr>
          </m:sub>
        </m:sSub>
      </m:oMath>
      <w:r>
        <w:rPr>
          <w:rFonts w:hint="eastAsia" w:ascii="Times New Roman" w:hAnsi="Times New Roman" w:eastAsia="仿宋" w:cs="Times New Roman"/>
          <w:sz w:val="28"/>
          <w:szCs w:val="28"/>
        </w:rPr>
        <w:t>——原始质量；</w:t>
      </w:r>
    </w:p>
    <w:p w14:paraId="10B34CC5">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      </w:t>
      </w:r>
      <m:oMath>
        <m:sSub>
          <m:sSubPr>
            <m:ctrlPr>
              <w:rPr>
                <w:rFonts w:ascii="Cambria Math" w:hAnsi="Cambria Math" w:eastAsia="仿宋" w:cs="Times New Roman"/>
                <w:sz w:val="28"/>
                <w:szCs w:val="28"/>
              </w:rPr>
            </m:ctrlPr>
          </m:sSubPr>
          <m:e>
            <m:r>
              <m:rPr/>
              <w:rPr>
                <w:rFonts w:hint="eastAsia" w:ascii="Cambria Math" w:hAnsi="Cambria Math" w:eastAsia="仿宋" w:cs="Times New Roman"/>
                <w:sz w:val="28"/>
                <w:szCs w:val="28"/>
              </w:rPr>
              <m:t>M</m:t>
            </m:r>
            <m:ctrlPr>
              <w:rPr>
                <w:rFonts w:ascii="Cambria Math" w:hAnsi="Cambria Math" w:eastAsia="仿宋" w:cs="Times New Roman"/>
                <w:sz w:val="28"/>
                <w:szCs w:val="28"/>
              </w:rPr>
            </m:ctrlPr>
          </m:e>
          <m:sub>
            <m:r>
              <m:rPr>
                <m:sty m:val="p"/>
              </m:rPr>
              <w:rPr>
                <w:rFonts w:ascii="Cambria Math" w:hAnsi="Cambria Math" w:eastAsia="仿宋" w:cs="Times New Roman"/>
                <w:sz w:val="28"/>
                <w:szCs w:val="28"/>
              </w:rPr>
              <m:t>2</m:t>
            </m:r>
            <m:ctrlPr>
              <w:rPr>
                <w:rFonts w:ascii="Cambria Math" w:hAnsi="Cambria Math" w:eastAsia="仿宋" w:cs="Times New Roman"/>
                <w:sz w:val="28"/>
                <w:szCs w:val="28"/>
              </w:rPr>
            </m:ctrlPr>
          </m:sub>
        </m:sSub>
      </m:oMath>
      <w:r>
        <w:rPr>
          <w:rFonts w:hint="eastAsia" w:ascii="Times New Roman" w:hAnsi="Times New Roman" w:eastAsia="仿宋" w:cs="Times New Roman"/>
          <w:sz w:val="28"/>
          <w:szCs w:val="28"/>
        </w:rPr>
        <w:t>——试验后重量。</w:t>
      </w:r>
    </w:p>
    <w:p w14:paraId="4994D185">
      <w:pPr>
        <w:snapToGrid w:val="0"/>
        <w:spacing w:line="360" w:lineRule="auto"/>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在计算每个降解时间的质量损失时，应明确试验后的重量为去除</w:t>
      </w:r>
      <w:r>
        <w:rPr>
          <w:rFonts w:hint="eastAsia" w:ascii="Times New Roman" w:hAnsi="Times New Roman" w:eastAsia="仿宋" w:cs="Times New Roman"/>
          <w:sz w:val="28"/>
          <w:szCs w:val="28"/>
        </w:rPr>
        <w:t>腐蚀产物</w:t>
      </w:r>
      <w:r>
        <w:rPr>
          <w:rFonts w:ascii="Times New Roman" w:hAnsi="Times New Roman" w:eastAsia="仿宋" w:cs="Times New Roman"/>
          <w:sz w:val="28"/>
          <w:szCs w:val="28"/>
        </w:rPr>
        <w:t>附着物后的重量</w:t>
      </w:r>
      <w:r>
        <w:rPr>
          <w:rFonts w:hint="eastAsia" w:ascii="Times New Roman" w:hAnsi="Times New Roman" w:eastAsia="仿宋" w:cs="Times New Roman"/>
          <w:sz w:val="28"/>
          <w:szCs w:val="28"/>
        </w:rPr>
        <w:t>，试验后镁合金的腐蚀产物的清除应按GB/T 16545-2015的相关规定进行。</w:t>
      </w:r>
    </w:p>
    <w:p w14:paraId="051D0B64">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w:t>
      </w:r>
      <w:bookmarkStart w:id="8" w:name="_Hlk200101122"/>
      <w:r>
        <w:rPr>
          <w:rFonts w:hint="eastAsia" w:ascii="Times New Roman" w:hAnsi="Times New Roman" w:eastAsia="仿宋" w:cs="Times New Roman"/>
          <w:sz w:val="28"/>
          <w:szCs w:val="28"/>
        </w:rPr>
        <w:t>生物相容性测试方法按GB/T16886.1-2022中规定的对应测试方法</w:t>
      </w:r>
      <w:r>
        <w:rPr>
          <w:rFonts w:ascii="Times New Roman" w:hAnsi="Times New Roman" w:eastAsia="仿宋" w:cs="Times New Roman"/>
          <w:sz w:val="28"/>
          <w:szCs w:val="28"/>
        </w:rPr>
        <w:t>。</w:t>
      </w:r>
    </w:p>
    <w:bookmarkEnd w:id="8"/>
    <w:p w14:paraId="297AB40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本标准规定外科植入物新型可降解镁锌锰合金骨植入材料的硬度测试按照GB/T 4340.1-2024的规定进行</w:t>
      </w:r>
      <w:r>
        <w:rPr>
          <w:rFonts w:ascii="Times New Roman" w:hAnsi="Times New Roman" w:eastAsia="仿宋" w:cs="Times New Roman"/>
          <w:sz w:val="28"/>
          <w:szCs w:val="28"/>
        </w:rPr>
        <w:t>。</w:t>
      </w:r>
    </w:p>
    <w:p w14:paraId="1F4C6D61">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（五）检验规则</w:t>
      </w:r>
    </w:p>
    <w:p w14:paraId="76FA2635">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本标准对于外科植入物新型可降解镁锌锰合金骨植入材料的检验规则进行了要求</w:t>
      </w:r>
      <w:r>
        <w:rPr>
          <w:rFonts w:ascii="Times New Roman" w:hAnsi="Times New Roman" w:eastAsia="仿宋" w:cs="Times New Roman"/>
          <w:sz w:val="28"/>
          <w:szCs w:val="28"/>
        </w:rPr>
        <w:t>具体检验项目见表6所示。</w:t>
      </w:r>
      <w:r>
        <w:rPr>
          <w:rFonts w:hint="eastAsia" w:ascii="Times New Roman" w:hAnsi="Times New Roman" w:eastAsia="仿宋" w:cs="Times New Roman"/>
          <w:sz w:val="28"/>
          <w:szCs w:val="28"/>
        </w:rPr>
        <w:t>每一批产品出厂前都应该进行出厂检验，并出具合格检验报告。每批产品由供方技术监督部门进行检验，保证产品质量符合本标准规定。</w:t>
      </w:r>
    </w:p>
    <w:p w14:paraId="7598A993">
      <w:pPr>
        <w:snapToGrid w:val="0"/>
        <w:spacing w:line="360" w:lineRule="auto"/>
        <w:ind w:firstLine="480" w:firstLineChars="200"/>
        <w:jc w:val="center"/>
        <w:rPr>
          <w:rFonts w:ascii="Times New Roman" w:hAnsi="Times New Roman" w:eastAsia="宋体" w:cs="Times New Roman"/>
          <w:sz w:val="24"/>
          <w:szCs w:val="24"/>
        </w:rPr>
      </w:pPr>
      <w:r>
        <w:rPr>
          <w:rFonts w:ascii="Times New Roman" w:hAnsi="Times New Roman" w:eastAsia="宋体" w:cs="Times New Roman"/>
          <w:sz w:val="24"/>
          <w:szCs w:val="24"/>
        </w:rPr>
        <w:t>表</w:t>
      </w:r>
      <w:r>
        <w:rPr>
          <w:rFonts w:hint="eastAsia" w:ascii="Times New Roman" w:hAnsi="Times New Roman" w:eastAsia="宋体" w:cs="Times New Roman"/>
          <w:sz w:val="24"/>
          <w:szCs w:val="24"/>
        </w:rPr>
        <w:t xml:space="preserve">6 </w:t>
      </w:r>
      <w:r>
        <w:rPr>
          <w:rFonts w:ascii="Times New Roman" w:hAnsi="Times New Roman" w:eastAsia="宋体" w:cs="Times New Roman"/>
          <w:sz w:val="24"/>
          <w:szCs w:val="24"/>
        </w:rPr>
        <w:t>镁合金空气电池检验项目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2"/>
        <w:gridCol w:w="3562"/>
        <w:gridCol w:w="1570"/>
        <w:gridCol w:w="1592"/>
      </w:tblGrid>
      <w:tr w14:paraId="6FB1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00D42AE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检验项目</w:t>
            </w:r>
          </w:p>
        </w:tc>
        <w:tc>
          <w:tcPr>
            <w:tcW w:w="3562" w:type="dxa"/>
            <w:vAlign w:val="center"/>
          </w:tcPr>
          <w:p w14:paraId="667F479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取样</w:t>
            </w:r>
          </w:p>
        </w:tc>
        <w:tc>
          <w:tcPr>
            <w:tcW w:w="1570" w:type="dxa"/>
            <w:vAlign w:val="center"/>
          </w:tcPr>
          <w:p w14:paraId="3BEA8456">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要求的章条号</w:t>
            </w:r>
          </w:p>
        </w:tc>
        <w:tc>
          <w:tcPr>
            <w:tcW w:w="1592" w:type="dxa"/>
            <w:vAlign w:val="center"/>
          </w:tcPr>
          <w:p w14:paraId="2EE3AEA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检验的章条号</w:t>
            </w:r>
          </w:p>
        </w:tc>
      </w:tr>
      <w:tr w14:paraId="0AD4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7F34DAD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化学成分</w:t>
            </w:r>
          </w:p>
        </w:tc>
        <w:tc>
          <w:tcPr>
            <w:tcW w:w="3562" w:type="dxa"/>
            <w:vAlign w:val="center"/>
          </w:tcPr>
          <w:p w14:paraId="29BD129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材料的任意位置</w:t>
            </w:r>
          </w:p>
        </w:tc>
        <w:tc>
          <w:tcPr>
            <w:tcW w:w="1570" w:type="dxa"/>
            <w:vAlign w:val="center"/>
          </w:tcPr>
          <w:p w14:paraId="557F47F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4.1</w:t>
            </w:r>
          </w:p>
        </w:tc>
        <w:tc>
          <w:tcPr>
            <w:tcW w:w="1592" w:type="dxa"/>
            <w:vAlign w:val="center"/>
          </w:tcPr>
          <w:p w14:paraId="0EF93E34">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5.2</w:t>
            </w:r>
          </w:p>
        </w:tc>
      </w:tr>
      <w:tr w14:paraId="37CB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05BAB92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尺寸偏差</w:t>
            </w:r>
          </w:p>
        </w:tc>
        <w:tc>
          <w:tcPr>
            <w:tcW w:w="3562" w:type="dxa"/>
            <w:vAlign w:val="center"/>
          </w:tcPr>
          <w:p w14:paraId="675E3B60">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逐根检查</w:t>
            </w:r>
          </w:p>
        </w:tc>
        <w:tc>
          <w:tcPr>
            <w:tcW w:w="1570" w:type="dxa"/>
            <w:vAlign w:val="center"/>
          </w:tcPr>
          <w:p w14:paraId="2518B7C8">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4.4</w:t>
            </w:r>
          </w:p>
        </w:tc>
        <w:tc>
          <w:tcPr>
            <w:tcW w:w="1592" w:type="dxa"/>
            <w:vAlign w:val="center"/>
          </w:tcPr>
          <w:p w14:paraId="404F2855">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5.3</w:t>
            </w:r>
          </w:p>
        </w:tc>
      </w:tr>
      <w:tr w14:paraId="61525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04A2FED3">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外观</w:t>
            </w:r>
          </w:p>
        </w:tc>
        <w:tc>
          <w:tcPr>
            <w:tcW w:w="3562" w:type="dxa"/>
            <w:vAlign w:val="center"/>
          </w:tcPr>
          <w:p w14:paraId="7C16928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逐根检查</w:t>
            </w:r>
          </w:p>
        </w:tc>
        <w:tc>
          <w:tcPr>
            <w:tcW w:w="1570" w:type="dxa"/>
            <w:vAlign w:val="center"/>
          </w:tcPr>
          <w:p w14:paraId="08FF655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4.5</w:t>
            </w:r>
          </w:p>
        </w:tc>
        <w:tc>
          <w:tcPr>
            <w:tcW w:w="1592" w:type="dxa"/>
            <w:vAlign w:val="center"/>
          </w:tcPr>
          <w:p w14:paraId="48E0560F">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5.4</w:t>
            </w:r>
          </w:p>
        </w:tc>
      </w:tr>
      <w:tr w14:paraId="42F2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2FC319D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超声波探伤</w:t>
            </w:r>
          </w:p>
        </w:tc>
        <w:tc>
          <w:tcPr>
            <w:tcW w:w="3562" w:type="dxa"/>
            <w:vAlign w:val="center"/>
          </w:tcPr>
          <w:p w14:paraId="6AC3BDC6">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每批次随机抽取规定数量</w:t>
            </w:r>
          </w:p>
        </w:tc>
        <w:tc>
          <w:tcPr>
            <w:tcW w:w="1570" w:type="dxa"/>
            <w:vAlign w:val="center"/>
          </w:tcPr>
          <w:p w14:paraId="72543F40">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4.5</w:t>
            </w:r>
          </w:p>
        </w:tc>
        <w:tc>
          <w:tcPr>
            <w:tcW w:w="1592" w:type="dxa"/>
            <w:vAlign w:val="center"/>
          </w:tcPr>
          <w:p w14:paraId="250B70C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5.4</w:t>
            </w:r>
          </w:p>
        </w:tc>
      </w:tr>
      <w:tr w14:paraId="2552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7455B9C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力学性能</w:t>
            </w:r>
          </w:p>
        </w:tc>
        <w:tc>
          <w:tcPr>
            <w:tcW w:w="3562" w:type="dxa"/>
            <w:vAlign w:val="center"/>
          </w:tcPr>
          <w:p w14:paraId="17C5A97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取样符合</w:t>
            </w:r>
            <w:r>
              <w:rPr>
                <w:rFonts w:ascii="Times New Roman" w:hAnsi="Times New Roman" w:eastAsia="宋体" w:cs="Times New Roman"/>
                <w:kern w:val="0"/>
                <w:sz w:val="21"/>
                <w:szCs w:val="21"/>
              </w:rPr>
              <w:t>GB/T 228.1</w:t>
            </w:r>
            <w:r>
              <w:rPr>
                <w:rFonts w:hint="eastAsia" w:ascii="Times New Roman" w:hAnsi="Times New Roman" w:eastAsia="宋体" w:cs="Times New Roman"/>
                <w:kern w:val="0"/>
                <w:sz w:val="21"/>
                <w:szCs w:val="21"/>
              </w:rPr>
              <w:t>的要求</w:t>
            </w:r>
          </w:p>
        </w:tc>
        <w:tc>
          <w:tcPr>
            <w:tcW w:w="1570" w:type="dxa"/>
            <w:vAlign w:val="center"/>
          </w:tcPr>
          <w:p w14:paraId="15040D49">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4.8</w:t>
            </w:r>
          </w:p>
        </w:tc>
        <w:tc>
          <w:tcPr>
            <w:tcW w:w="1592" w:type="dxa"/>
            <w:vAlign w:val="center"/>
          </w:tcPr>
          <w:p w14:paraId="577E5A12">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5.6</w:t>
            </w:r>
          </w:p>
        </w:tc>
      </w:tr>
      <w:tr w14:paraId="270B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633AB25A">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显微组织</w:t>
            </w:r>
          </w:p>
        </w:tc>
        <w:tc>
          <w:tcPr>
            <w:tcW w:w="3562" w:type="dxa"/>
            <w:vAlign w:val="center"/>
          </w:tcPr>
          <w:p w14:paraId="5DD90CAC">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材料的任意位置</w:t>
            </w:r>
          </w:p>
        </w:tc>
        <w:tc>
          <w:tcPr>
            <w:tcW w:w="1570" w:type="dxa"/>
            <w:vAlign w:val="center"/>
          </w:tcPr>
          <w:p w14:paraId="6AC8047D">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4.6</w:t>
            </w:r>
          </w:p>
        </w:tc>
        <w:tc>
          <w:tcPr>
            <w:tcW w:w="1592" w:type="dxa"/>
            <w:vAlign w:val="center"/>
          </w:tcPr>
          <w:p w14:paraId="16611FBB">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5.5</w:t>
            </w:r>
          </w:p>
        </w:tc>
      </w:tr>
      <w:tr w14:paraId="740ED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2" w:type="dxa"/>
            <w:vAlign w:val="center"/>
          </w:tcPr>
          <w:p w14:paraId="6D200731">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硬度</w:t>
            </w:r>
          </w:p>
        </w:tc>
        <w:tc>
          <w:tcPr>
            <w:tcW w:w="3562" w:type="dxa"/>
            <w:vAlign w:val="center"/>
          </w:tcPr>
          <w:p w14:paraId="00C0D093">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材料的任意位置</w:t>
            </w:r>
          </w:p>
        </w:tc>
        <w:tc>
          <w:tcPr>
            <w:tcW w:w="1570" w:type="dxa"/>
            <w:vAlign w:val="center"/>
          </w:tcPr>
          <w:p w14:paraId="000E4EE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4.10</w:t>
            </w:r>
          </w:p>
        </w:tc>
        <w:tc>
          <w:tcPr>
            <w:tcW w:w="1592" w:type="dxa"/>
            <w:vAlign w:val="center"/>
          </w:tcPr>
          <w:p w14:paraId="3FF6A46E">
            <w:pPr>
              <w:snapToGrid w:val="0"/>
              <w:spacing w:line="360" w:lineRule="auto"/>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5.9</w:t>
            </w:r>
          </w:p>
        </w:tc>
      </w:tr>
    </w:tbl>
    <w:p w14:paraId="7F55E3B9">
      <w:pPr>
        <w:snapToGrid w:val="0"/>
        <w:spacing w:line="360" w:lineRule="auto"/>
        <w:ind w:firstLine="560" w:firstLineChars="200"/>
        <w:rPr>
          <w:rFonts w:ascii="Times New Roman" w:hAnsi="Times New Roman" w:eastAsia="仿宋" w:cs="Times New Roman"/>
          <w:color w:val="EE0000"/>
          <w:sz w:val="28"/>
          <w:szCs w:val="28"/>
        </w:rPr>
      </w:pPr>
    </w:p>
    <w:p w14:paraId="27084371">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（六）包装运输存储</w:t>
      </w:r>
    </w:p>
    <w:p w14:paraId="1FE9E9C6">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本标准对于外科植入物新型可降解镁锌锰合金骨植入材料的标志、包装、运输、贮存提出了相应的要求，参照GB/T32792-2016的规定执行。同时要求每批材料应附有符合本文件要求的质量证明书。</w:t>
      </w:r>
    </w:p>
    <w:p w14:paraId="53D32903">
      <w:pPr>
        <w:snapToGrid w:val="0"/>
        <w:spacing w:before="156" w:beforeLines="50" w:after="156" w:afterLines="50" w:line="360" w:lineRule="auto"/>
        <w:rPr>
          <w:rFonts w:ascii="Times New Roman" w:hAnsi="Times New Roman" w:eastAsia="仿宋" w:cs="Times New Roman"/>
          <w:sz w:val="28"/>
          <w:szCs w:val="28"/>
        </w:rPr>
      </w:pPr>
      <w:r>
        <w:rPr>
          <w:rFonts w:hint="eastAsia" w:ascii="Times New Roman" w:hAnsi="Times New Roman" w:eastAsia="仿宋" w:cs="Times New Roman"/>
          <w:sz w:val="28"/>
          <w:szCs w:val="28"/>
        </w:rPr>
        <w:t>（七）验证试验分析</w:t>
      </w:r>
    </w:p>
    <w:p w14:paraId="2DFFF1F1">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按照本标准的要求，产品需进行相关的试验项目，试验项目有：化学成分、规格与公差、外观与质量、显微组织、力学性能、硬度等。按照试验方法所规定的方法，经过以上试验项目，全面验证了标准编写条款的适用性和可行性，实验结果，满足标准要求。</w:t>
      </w:r>
    </w:p>
    <w:p w14:paraId="1A554D34">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外观、极性、尺寸及重量、常温放电性能、高低温放电性能，经过以上试验全面验证了标准编写条款的适用性和可行性，实验结果，外科植入物可降解镁锌锰合金骨植入材料的相关性能与要求均满足标准要求。</w:t>
      </w:r>
    </w:p>
    <w:p w14:paraId="043EDD6B">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七、分歧意见的处理过程、依据和结果</w:t>
      </w:r>
    </w:p>
    <w:p w14:paraId="24B625D1">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无。</w:t>
      </w:r>
    </w:p>
    <w:p w14:paraId="6C90638A">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八、采用国际标准或国外先进标准情况</w:t>
      </w:r>
    </w:p>
    <w:p w14:paraId="25AF1420">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本标准没有采用国际标准。</w:t>
      </w:r>
    </w:p>
    <w:p w14:paraId="48A3DC5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本标准在制定过程中未查到同类国际标准。</w:t>
      </w:r>
    </w:p>
    <w:p w14:paraId="4A265B33">
      <w:pPr>
        <w:snapToGrid w:val="0"/>
        <w:spacing w:before="100" w:beforeAutospacing="1" w:line="360" w:lineRule="auto"/>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九、国家标准作为强制性国家标准或推荐性国家标准的建议</w:t>
      </w:r>
    </w:p>
    <w:p w14:paraId="38AC08FA">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建议作为推荐性标准实施。</w:t>
      </w:r>
    </w:p>
    <w:p w14:paraId="74FB049F">
      <w:pPr>
        <w:snapToGrid w:val="0"/>
        <w:spacing w:before="100" w:beforeAutospacing="1" w:line="360" w:lineRule="auto"/>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十</w:t>
      </w:r>
      <w:r>
        <w:rPr>
          <w:rFonts w:ascii="Times New Roman" w:hAnsi="Times New Roman" w:eastAsia="仿宋" w:cs="Times New Roman"/>
          <w:b/>
          <w:bCs/>
          <w:sz w:val="28"/>
          <w:szCs w:val="28"/>
        </w:rPr>
        <w:t>、贯彻标准的措施建议</w:t>
      </w:r>
    </w:p>
    <w:p w14:paraId="704EECAE">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无。</w:t>
      </w:r>
    </w:p>
    <w:p w14:paraId="2E0ADBB9">
      <w:pPr>
        <w:snapToGrid w:val="0"/>
        <w:spacing w:before="100" w:beforeAutospacing="1" w:line="360" w:lineRule="auto"/>
        <w:rPr>
          <w:rFonts w:ascii="Times New Roman" w:hAnsi="Times New Roman" w:eastAsia="仿宋" w:cs="Times New Roman"/>
          <w:b/>
          <w:bCs/>
          <w:sz w:val="28"/>
          <w:szCs w:val="28"/>
        </w:rPr>
      </w:pPr>
      <w:r>
        <w:rPr>
          <w:rFonts w:ascii="Times New Roman" w:hAnsi="Times New Roman" w:eastAsia="仿宋" w:cs="Times New Roman"/>
          <w:b/>
          <w:bCs/>
          <w:sz w:val="28"/>
          <w:szCs w:val="28"/>
        </w:rPr>
        <w:t>十</w:t>
      </w:r>
      <w:r>
        <w:rPr>
          <w:rFonts w:hint="eastAsia" w:ascii="Times New Roman" w:hAnsi="Times New Roman" w:eastAsia="仿宋" w:cs="Times New Roman"/>
          <w:b/>
          <w:bCs/>
          <w:sz w:val="28"/>
          <w:szCs w:val="28"/>
        </w:rPr>
        <w:t>一</w:t>
      </w:r>
      <w:r>
        <w:rPr>
          <w:rFonts w:ascii="Times New Roman" w:hAnsi="Times New Roman" w:eastAsia="仿宋" w:cs="Times New Roman"/>
          <w:b/>
          <w:bCs/>
          <w:sz w:val="28"/>
          <w:szCs w:val="28"/>
        </w:rPr>
        <w:t>、其他应予说明的事项</w:t>
      </w:r>
    </w:p>
    <w:p w14:paraId="24D73A2E">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无</w:t>
      </w:r>
      <w:r>
        <w:rPr>
          <w:rFonts w:ascii="Times New Roman" w:hAnsi="Times New Roman" w:eastAsia="仿宋" w:cs="Times New Roman"/>
          <w:sz w:val="28"/>
          <w:szCs w:val="28"/>
        </w:rPr>
        <w:t>废止现行有关团体标准的建议</w:t>
      </w:r>
      <w:r>
        <w:rPr>
          <w:rFonts w:hint="eastAsia" w:ascii="Times New Roman" w:hAnsi="Times New Roman" w:eastAsia="仿宋" w:cs="Times New Roman"/>
          <w:sz w:val="28"/>
          <w:szCs w:val="28"/>
        </w:rPr>
        <w:t>。</w:t>
      </w:r>
    </w:p>
    <w:p w14:paraId="40B5A3D3">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无</w:t>
      </w:r>
      <w:r>
        <w:rPr>
          <w:rFonts w:ascii="Times New Roman" w:hAnsi="Times New Roman" w:eastAsia="仿宋" w:cs="Times New Roman"/>
          <w:sz w:val="28"/>
          <w:szCs w:val="28"/>
        </w:rPr>
        <w:t>其他应予说明</w:t>
      </w:r>
      <w:r>
        <w:rPr>
          <w:rFonts w:hint="eastAsia" w:ascii="Times New Roman" w:hAnsi="Times New Roman" w:eastAsia="仿宋" w:cs="Times New Roman"/>
          <w:sz w:val="28"/>
          <w:szCs w:val="28"/>
        </w:rPr>
        <w:t>事项。</w:t>
      </w:r>
    </w:p>
    <w:p w14:paraId="3B57ACEB">
      <w:pPr>
        <w:snapToGrid w:val="0"/>
        <w:spacing w:before="100" w:beforeAutospacing="1" w:line="360" w:lineRule="auto"/>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十二、预期效益分析</w:t>
      </w:r>
    </w:p>
    <w:p w14:paraId="655A9AB1">
      <w:pPr>
        <w:snapToGrid w:val="0"/>
        <w:spacing w:line="360" w:lineRule="auto"/>
        <w:ind w:firstLine="560" w:firstLineChars="200"/>
        <w:rPr>
          <w:rFonts w:ascii="Times New Roman" w:hAnsi="Times New Roman" w:eastAsia="仿宋" w:cs="Times New Roman"/>
          <w:sz w:val="28"/>
          <w:szCs w:val="28"/>
        </w:rPr>
      </w:pPr>
      <w:bookmarkStart w:id="9" w:name="_Hlk200101912"/>
      <w:r>
        <w:rPr>
          <w:rFonts w:hint="eastAsia" w:ascii="Times New Roman" w:hAnsi="Times New Roman" w:eastAsia="仿宋" w:cs="Times New Roman"/>
          <w:sz w:val="28"/>
          <w:szCs w:val="28"/>
        </w:rPr>
        <w:t xml:space="preserve">生物医用材料及制品正逐渐发展成为世界发达国家的支柱性产业之一，近年来其市场规模以每年大于 </w:t>
      </w:r>
      <w:r>
        <w:rPr>
          <w:rFonts w:ascii="Times New Roman" w:hAnsi="Times New Roman" w:eastAsia="仿宋" w:cs="Times New Roman"/>
          <w:sz w:val="28"/>
          <w:szCs w:val="28"/>
        </w:rPr>
        <w:t>20%</w:t>
      </w:r>
      <w:r>
        <w:rPr>
          <w:rFonts w:hint="eastAsia" w:ascii="Times New Roman" w:hAnsi="Times New Roman" w:eastAsia="仿宋" w:cs="Times New Roman"/>
          <w:sz w:val="28"/>
          <w:szCs w:val="28"/>
        </w:rPr>
        <w:t>的速度增长，其中美国、欧盟和日本占全球市场的</w:t>
      </w:r>
      <w:r>
        <w:rPr>
          <w:rFonts w:ascii="Times New Roman" w:hAnsi="Times New Roman" w:eastAsia="仿宋" w:cs="Times New Roman"/>
          <w:sz w:val="28"/>
          <w:szCs w:val="28"/>
        </w:rPr>
        <w:t>75%</w:t>
      </w:r>
      <w:r>
        <w:rPr>
          <w:rFonts w:hint="eastAsia" w:ascii="Times New Roman" w:hAnsi="Times New Roman" w:eastAsia="仿宋" w:cs="Times New Roman"/>
          <w:sz w:val="28"/>
          <w:szCs w:val="28"/>
        </w:rPr>
        <w:t>以上。镁合金具有良好的生物相容性，可参与生物酶的作用和蛋白质的合成，可以在体液环境下参与体内新陈代谢过程，实现降解，不用二次手术取出，减轻甚至避免病人进行</w:t>
      </w:r>
      <w:r>
        <w:rPr>
          <w:rFonts w:ascii="Times New Roman" w:hAnsi="Times New Roman" w:eastAsia="仿宋" w:cs="Times New Roman"/>
          <w:sz w:val="28"/>
          <w:szCs w:val="28"/>
        </w:rPr>
        <w:t>X</w:t>
      </w:r>
      <w:r>
        <w:rPr>
          <w:rFonts w:hint="eastAsia" w:ascii="Times New Roman" w:hAnsi="Times New Roman" w:eastAsia="仿宋" w:cs="Times New Roman"/>
          <w:sz w:val="28"/>
          <w:szCs w:val="28"/>
        </w:rPr>
        <w:t>射线、</w:t>
      </w:r>
      <w:r>
        <w:rPr>
          <w:rFonts w:ascii="Times New Roman" w:hAnsi="Times New Roman" w:eastAsia="仿宋" w:cs="Times New Roman"/>
          <w:sz w:val="28"/>
          <w:szCs w:val="28"/>
        </w:rPr>
        <w:t>CT</w:t>
      </w:r>
      <w:r>
        <w:rPr>
          <w:rFonts w:hint="eastAsia" w:ascii="Times New Roman" w:hAnsi="Times New Roman" w:eastAsia="仿宋" w:cs="Times New Roman"/>
          <w:sz w:val="28"/>
          <w:szCs w:val="28"/>
        </w:rPr>
        <w:t>及</w:t>
      </w:r>
      <w:r>
        <w:rPr>
          <w:rFonts w:ascii="Times New Roman" w:hAnsi="Times New Roman" w:eastAsia="仿宋" w:cs="Times New Roman"/>
          <w:sz w:val="28"/>
          <w:szCs w:val="28"/>
        </w:rPr>
        <w:t>MRI</w:t>
      </w:r>
      <w:r>
        <w:rPr>
          <w:rFonts w:hint="eastAsia" w:ascii="Times New Roman" w:hAnsi="Times New Roman" w:eastAsia="仿宋" w:cs="Times New Roman"/>
          <w:sz w:val="28"/>
          <w:szCs w:val="28"/>
        </w:rPr>
        <w:t>检查时受到影响。镁还能促进钙的沉积和骨细胞的形成，加速骨愈合。而且，镁在弹性模量和密度上与自然骨吻合，可以避免金属材料引起的“应力屏蔽效应”，利于自然骨的生长，并具有良好的成形和加工能力，非常适合作为骨科植入材料进行开发和应用。镁合金作为植入材料还有望应用在心血管支架等领域。因此，开展可控降解的医用植入镁合金材料并构建其生物适配性等功能特性，是实现镁合金临床应用的关键。</w:t>
      </w:r>
      <w:r>
        <w:rPr>
          <w:rFonts w:ascii="Times New Roman" w:hAnsi="Times New Roman" w:eastAsia="仿宋" w:cs="Times New Roman"/>
          <w:sz w:val="28"/>
          <w:szCs w:val="28"/>
        </w:rPr>
        <w:t xml:space="preserve"> </w:t>
      </w:r>
    </w:p>
    <w:p w14:paraId="592A841C">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标准提出可控降解等镁合金骨植入材料，在整体服役期间，可实现镁合金在动物体内不同服役条件下功能特性随材料的可控降解而满足应用需求，获得镁合金的功能结构降解机制与生物适配性机理，达到可控降解的医用植入材料生物相容性与功能完整性的协调统一。对提升医用可降解镁锌锰合金植入材料的应用、促进生物医用材料的发展，有重要的理论意义和实用价值。</w:t>
      </w:r>
    </w:p>
    <w:p w14:paraId="48DABD02">
      <w:pPr>
        <w:snapToGrid w:val="0"/>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针对本标准具体研究的可降解镁锌锰合金骨钉、骨板及板钉系统。产品包括直径从</w:t>
      </w:r>
      <w:r>
        <w:rPr>
          <w:rFonts w:ascii="Times New Roman" w:hAnsi="Times New Roman" w:eastAsia="仿宋" w:cs="Times New Roman"/>
          <w:sz w:val="28"/>
          <w:szCs w:val="28"/>
        </w:rPr>
        <w:t>1.</w:t>
      </w:r>
      <w:r>
        <w:rPr>
          <w:rFonts w:hint="eastAsia" w:ascii="Times New Roman" w:hAnsi="Times New Roman" w:eastAsia="仿宋" w:cs="Times New Roman"/>
          <w:sz w:val="28"/>
          <w:szCs w:val="28"/>
        </w:rPr>
        <w:t>0</w:t>
      </w:r>
      <w:r>
        <w:rPr>
          <w:rFonts w:ascii="Times New Roman" w:hAnsi="Times New Roman" w:eastAsia="仿宋" w:cs="Times New Roman"/>
          <w:sz w:val="28"/>
          <w:szCs w:val="28"/>
        </w:rPr>
        <w:t>mm</w:t>
      </w:r>
      <w:r>
        <w:rPr>
          <w:rFonts w:hint="eastAsia" w:ascii="Times New Roman" w:hAnsi="Times New Roman" w:eastAsia="仿宋" w:cs="Times New Roman"/>
          <w:sz w:val="28"/>
          <w:szCs w:val="28"/>
        </w:rPr>
        <w:t>到20</w:t>
      </w:r>
      <w:r>
        <w:rPr>
          <w:rFonts w:ascii="Times New Roman" w:hAnsi="Times New Roman" w:eastAsia="仿宋" w:cs="Times New Roman"/>
          <w:sz w:val="28"/>
          <w:szCs w:val="28"/>
        </w:rPr>
        <w:t>mm</w:t>
      </w:r>
      <w:r>
        <w:rPr>
          <w:rFonts w:hint="eastAsia" w:ascii="Times New Roman" w:hAnsi="Times New Roman" w:eastAsia="仿宋" w:cs="Times New Roman"/>
          <w:sz w:val="28"/>
          <w:szCs w:val="28"/>
        </w:rPr>
        <w:t>全部骨钉和厚度</w:t>
      </w:r>
      <w:r>
        <w:rPr>
          <w:rFonts w:ascii="Times New Roman" w:hAnsi="Times New Roman" w:eastAsia="仿宋" w:cs="Times New Roman"/>
          <w:sz w:val="28"/>
          <w:szCs w:val="28"/>
        </w:rPr>
        <w:t>1.0mm</w:t>
      </w:r>
      <w:r>
        <w:rPr>
          <w:rFonts w:hint="eastAsia" w:ascii="Times New Roman" w:hAnsi="Times New Roman" w:eastAsia="仿宋" w:cs="Times New Roman"/>
          <w:sz w:val="28"/>
          <w:szCs w:val="28"/>
        </w:rPr>
        <w:t>以上骨板全系列产品。骨钉、骨板及板钉系统应用在非承力部位骨缺损或骨修复部位，属于创新医疗产品，可以实现在体内完成</w:t>
      </w:r>
      <w:r>
        <w:rPr>
          <w:rFonts w:ascii="Times New Roman" w:hAnsi="Times New Roman" w:eastAsia="仿宋" w:cs="Times New Roman"/>
          <w:sz w:val="28"/>
          <w:szCs w:val="28"/>
        </w:rPr>
        <w:t>3~6</w:t>
      </w:r>
      <w:r>
        <w:rPr>
          <w:rFonts w:hint="eastAsia" w:ascii="Times New Roman" w:hAnsi="Times New Roman" w:eastAsia="仿宋" w:cs="Times New Roman"/>
          <w:sz w:val="28"/>
          <w:szCs w:val="28"/>
        </w:rPr>
        <w:t>个月服役期后，在</w:t>
      </w:r>
      <w:r>
        <w:rPr>
          <w:rFonts w:ascii="Times New Roman" w:hAnsi="Times New Roman" w:eastAsia="仿宋" w:cs="Times New Roman"/>
          <w:sz w:val="28"/>
          <w:szCs w:val="28"/>
        </w:rPr>
        <w:t>1</w:t>
      </w:r>
      <w:r>
        <w:rPr>
          <w:rFonts w:hint="eastAsia" w:ascii="Times New Roman" w:hAnsi="Times New Roman" w:eastAsia="仿宋" w:cs="Times New Roman"/>
          <w:sz w:val="28"/>
          <w:szCs w:val="28"/>
        </w:rPr>
        <w:t>～</w:t>
      </w:r>
      <w:r>
        <w:rPr>
          <w:rFonts w:ascii="Times New Roman" w:hAnsi="Times New Roman" w:eastAsia="仿宋" w:cs="Times New Roman"/>
          <w:sz w:val="28"/>
          <w:szCs w:val="28"/>
        </w:rPr>
        <w:t>2</w:t>
      </w:r>
      <w:r>
        <w:rPr>
          <w:rFonts w:hint="eastAsia" w:ascii="Times New Roman" w:hAnsi="Times New Roman" w:eastAsia="仿宋" w:cs="Times New Roman"/>
          <w:sz w:val="28"/>
          <w:szCs w:val="28"/>
        </w:rPr>
        <w:t>年内完全降解，生物相容性优良，具有明确的应用领域和应用产品对象，该产品一旦通过批量化生产和临床验证，将成为国内首个镁合金骨植入产品，具有巨大的潜在应用市场，预估该产品市场规模在</w:t>
      </w:r>
      <w:r>
        <w:rPr>
          <w:rFonts w:ascii="Times New Roman" w:hAnsi="Times New Roman" w:eastAsia="仿宋" w:cs="Times New Roman"/>
          <w:sz w:val="28"/>
          <w:szCs w:val="28"/>
        </w:rPr>
        <w:t>100</w:t>
      </w:r>
      <w:r>
        <w:rPr>
          <w:rFonts w:hint="eastAsia" w:ascii="Times New Roman" w:hAnsi="Times New Roman" w:eastAsia="仿宋" w:cs="Times New Roman"/>
          <w:sz w:val="28"/>
          <w:szCs w:val="28"/>
        </w:rPr>
        <w:t>亿以上。</w:t>
      </w:r>
      <w:bookmarkEnd w:id="9"/>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CA25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004"/>
    <w:rsid w:val="000008C7"/>
    <w:rsid w:val="000067AD"/>
    <w:rsid w:val="000449E7"/>
    <w:rsid w:val="00050A48"/>
    <w:rsid w:val="00055FEC"/>
    <w:rsid w:val="00065B0E"/>
    <w:rsid w:val="00065FE9"/>
    <w:rsid w:val="000753E6"/>
    <w:rsid w:val="000A7E48"/>
    <w:rsid w:val="000B4B76"/>
    <w:rsid w:val="000D7E9C"/>
    <w:rsid w:val="000F33BF"/>
    <w:rsid w:val="00146F29"/>
    <w:rsid w:val="0015500A"/>
    <w:rsid w:val="001918AD"/>
    <w:rsid w:val="002232F8"/>
    <w:rsid w:val="00230719"/>
    <w:rsid w:val="00230743"/>
    <w:rsid w:val="00245DA8"/>
    <w:rsid w:val="00246A21"/>
    <w:rsid w:val="00250A5D"/>
    <w:rsid w:val="002807E9"/>
    <w:rsid w:val="00284A4E"/>
    <w:rsid w:val="00287F10"/>
    <w:rsid w:val="002953A8"/>
    <w:rsid w:val="002F3BAC"/>
    <w:rsid w:val="00337CD1"/>
    <w:rsid w:val="003501AD"/>
    <w:rsid w:val="00352004"/>
    <w:rsid w:val="00353A70"/>
    <w:rsid w:val="003610B0"/>
    <w:rsid w:val="003B6F5B"/>
    <w:rsid w:val="003B70D9"/>
    <w:rsid w:val="003D1C0C"/>
    <w:rsid w:val="003F468F"/>
    <w:rsid w:val="00420BB6"/>
    <w:rsid w:val="004760FB"/>
    <w:rsid w:val="004C2A40"/>
    <w:rsid w:val="004D1756"/>
    <w:rsid w:val="004D4CF2"/>
    <w:rsid w:val="00516ABF"/>
    <w:rsid w:val="00524042"/>
    <w:rsid w:val="00543B2E"/>
    <w:rsid w:val="00544878"/>
    <w:rsid w:val="00555905"/>
    <w:rsid w:val="005746FF"/>
    <w:rsid w:val="00583FB4"/>
    <w:rsid w:val="00591239"/>
    <w:rsid w:val="0059295A"/>
    <w:rsid w:val="005967C6"/>
    <w:rsid w:val="005B0251"/>
    <w:rsid w:val="005D04CA"/>
    <w:rsid w:val="006025C1"/>
    <w:rsid w:val="006154B4"/>
    <w:rsid w:val="00637CA9"/>
    <w:rsid w:val="00657803"/>
    <w:rsid w:val="006677A1"/>
    <w:rsid w:val="006B3F38"/>
    <w:rsid w:val="006B5DCF"/>
    <w:rsid w:val="006D4375"/>
    <w:rsid w:val="006E10F6"/>
    <w:rsid w:val="006F0894"/>
    <w:rsid w:val="006F38DD"/>
    <w:rsid w:val="00712C44"/>
    <w:rsid w:val="0074203C"/>
    <w:rsid w:val="007556D7"/>
    <w:rsid w:val="007B12D6"/>
    <w:rsid w:val="007F0CC4"/>
    <w:rsid w:val="007F48EA"/>
    <w:rsid w:val="007F548C"/>
    <w:rsid w:val="00804461"/>
    <w:rsid w:val="00822D3D"/>
    <w:rsid w:val="00823566"/>
    <w:rsid w:val="00851FAB"/>
    <w:rsid w:val="00861D7E"/>
    <w:rsid w:val="00867AB4"/>
    <w:rsid w:val="00875A5C"/>
    <w:rsid w:val="008838DA"/>
    <w:rsid w:val="00885C36"/>
    <w:rsid w:val="008958AC"/>
    <w:rsid w:val="008A3895"/>
    <w:rsid w:val="008B2725"/>
    <w:rsid w:val="008C0866"/>
    <w:rsid w:val="008F26D8"/>
    <w:rsid w:val="00933F48"/>
    <w:rsid w:val="00977171"/>
    <w:rsid w:val="009A4294"/>
    <w:rsid w:val="009B0B9F"/>
    <w:rsid w:val="009B2161"/>
    <w:rsid w:val="009B347F"/>
    <w:rsid w:val="009B6BB7"/>
    <w:rsid w:val="009D3B30"/>
    <w:rsid w:val="00A0587A"/>
    <w:rsid w:val="00A24B75"/>
    <w:rsid w:val="00AA046A"/>
    <w:rsid w:val="00AA1251"/>
    <w:rsid w:val="00AB50C3"/>
    <w:rsid w:val="00AD4FF5"/>
    <w:rsid w:val="00B02CA6"/>
    <w:rsid w:val="00B27C52"/>
    <w:rsid w:val="00B42B5F"/>
    <w:rsid w:val="00B65504"/>
    <w:rsid w:val="00B6588F"/>
    <w:rsid w:val="00B87DB8"/>
    <w:rsid w:val="00BA2E62"/>
    <w:rsid w:val="00BD097A"/>
    <w:rsid w:val="00BE22F3"/>
    <w:rsid w:val="00C301A1"/>
    <w:rsid w:val="00C3094D"/>
    <w:rsid w:val="00C634FA"/>
    <w:rsid w:val="00C70EEC"/>
    <w:rsid w:val="00C77C7C"/>
    <w:rsid w:val="00C94278"/>
    <w:rsid w:val="00C942AF"/>
    <w:rsid w:val="00CC2405"/>
    <w:rsid w:val="00D0741D"/>
    <w:rsid w:val="00D22D17"/>
    <w:rsid w:val="00D27884"/>
    <w:rsid w:val="00D505CE"/>
    <w:rsid w:val="00D60797"/>
    <w:rsid w:val="00D62102"/>
    <w:rsid w:val="00DA2D03"/>
    <w:rsid w:val="00DA40BC"/>
    <w:rsid w:val="00DA7130"/>
    <w:rsid w:val="00DD25CC"/>
    <w:rsid w:val="00DD563E"/>
    <w:rsid w:val="00DF2384"/>
    <w:rsid w:val="00E05FFC"/>
    <w:rsid w:val="00E22324"/>
    <w:rsid w:val="00E662EB"/>
    <w:rsid w:val="00E81BE3"/>
    <w:rsid w:val="00E86CE2"/>
    <w:rsid w:val="00EA71EE"/>
    <w:rsid w:val="00EC0A78"/>
    <w:rsid w:val="00EC15D0"/>
    <w:rsid w:val="00ED0E3A"/>
    <w:rsid w:val="00ED3966"/>
    <w:rsid w:val="00F13DFC"/>
    <w:rsid w:val="00F23B81"/>
    <w:rsid w:val="00F25C36"/>
    <w:rsid w:val="00F6236F"/>
    <w:rsid w:val="00F649F7"/>
    <w:rsid w:val="00F70A8D"/>
    <w:rsid w:val="00F80085"/>
    <w:rsid w:val="00F96241"/>
    <w:rsid w:val="00F975B1"/>
    <w:rsid w:val="00FA4BB7"/>
    <w:rsid w:val="00FE0549"/>
    <w:rsid w:val="00FF2191"/>
    <w:rsid w:val="0B9915FB"/>
    <w:rsid w:val="32F74A18"/>
    <w:rsid w:val="3D555001"/>
    <w:rsid w:val="55655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39"/>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14:ligatures w14:val="none"/>
    </w:rPr>
  </w:style>
  <w:style w:type="character" w:customStyle="1" w:styleId="10">
    <w:name w:val="页脚 字符"/>
    <w:basedOn w:val="7"/>
    <w:link w:val="3"/>
    <w:qFormat/>
    <w:uiPriority w:val="99"/>
    <w:rPr>
      <w:sz w:val="18"/>
      <w:szCs w:val="18"/>
      <w14:ligatures w14:val="none"/>
    </w:rPr>
  </w:style>
  <w:style w:type="paragraph" w:styleId="11">
    <w:name w:val="List Paragraph"/>
    <w:basedOn w:val="1"/>
    <w:qFormat/>
    <w:uiPriority w:val="34"/>
    <w:pPr>
      <w:ind w:firstLine="420" w:firstLineChars="200"/>
    </w:pPr>
  </w:style>
  <w:style w:type="character" w:customStyle="1" w:styleId="12">
    <w:name w:val="Unresolved Mention"/>
    <w:basedOn w:val="7"/>
    <w:semiHidden/>
    <w:unhideWhenUsed/>
    <w:qFormat/>
    <w:uiPriority w:val="99"/>
    <w:rPr>
      <w:color w:val="605E5C"/>
      <w:shd w:val="clear" w:color="auto" w:fill="E1DFDD"/>
    </w:rPr>
  </w:style>
  <w:style w:type="character" w:customStyle="1" w:styleId="13">
    <w:name w:val="标题 1 字符"/>
    <w:basedOn w:val="7"/>
    <w:link w:val="2"/>
    <w:qFormat/>
    <w:uiPriority w:val="9"/>
    <w:rPr>
      <w:b/>
      <w:bCs/>
      <w:kern w:val="44"/>
      <w:sz w:val="44"/>
      <w:szCs w:val="44"/>
      <w14:ligatures w14:val="none"/>
    </w:rPr>
  </w:style>
  <w:style w:type="paragraph" w:customStyle="1" w:styleId="14">
    <w:name w:val="Revision"/>
    <w:hidden/>
    <w:semiHidden/>
    <w:qFormat/>
    <w:uiPriority w:val="99"/>
    <w:rPr>
      <w:rFonts w:asciiTheme="minorHAnsi" w:hAnsiTheme="minorHAnsi" w:eastAsiaTheme="minorEastAsia" w:cstheme="minorBidi"/>
      <w:kern w:val="2"/>
      <w:sz w:val="21"/>
      <w:szCs w:val="22"/>
      <w:lang w:val="en-US" w:eastAsia="zh-CN" w:bidi="ar-SA"/>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52EE3-9286-45E1-BB16-546DD3EC354E}">
  <ds:schemaRefs/>
</ds:datastoreItem>
</file>

<file path=docProps/app.xml><?xml version="1.0" encoding="utf-8"?>
<Properties xmlns="http://schemas.openxmlformats.org/officeDocument/2006/extended-properties" xmlns:vt="http://schemas.openxmlformats.org/officeDocument/2006/docPropsVTypes">
  <Template>Normal</Template>
  <Pages>20</Pages>
  <Words>8007</Words>
  <Characters>8831</Characters>
  <Lines>89</Lines>
  <Paragraphs>25</Paragraphs>
  <TotalTime>3</TotalTime>
  <ScaleCrop>false</ScaleCrop>
  <LinksUpToDate>false</LinksUpToDate>
  <CharactersWithSpaces>8904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2025-09-16T00:38:00Z</dcterms:created>
  <dc:creator>Hydy_Song</dc:creator>
  <cp:lastModifiedBy>Julian</cp:lastModifiedBy>
  <dcterms:modified xsi:type="dcterms:W3CDTF">2026-08-05T03:45:08Z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eyJoZGlkIjoiOGI4NjI5OTBmMDM1ODFlMDkzNDFlZTFiMWNhZWU5ZTMiLCJ1c2VySWQiOiIzMDk3NTI4ODEifQ==</vt:lpwstr>
  </property>
  <property fmtid="{D5CDD505-2E9C-101B-9397-08002B2CF9AE}" pid="3" name="KSOProductBuildVer">
    <vt:lpwstr>2052-12.1.0.26895</vt:lpwstr>
  </property>
  <property fmtid="{D5CDD505-2E9C-101B-9397-08002B2CF9AE}" pid="4" name="ICV">
    <vt:lpwstr>2DB94C7F28884962AE07DAC76ABFA6AE_13</vt:lpwstr>
  </property>
</Properties>
</file>