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EDF9A">
      <w:pPr>
        <w:pBdr>
          <w:bottom w:val="single" w:color="auto" w:sz="12" w:space="1"/>
        </w:pBdr>
        <w:snapToGrid w:val="0"/>
        <w:spacing w:after="0" w:line="360" w:lineRule="auto"/>
        <w:rPr>
          <w:rFonts w:ascii="Times New Roman" w:hAnsi="Times New Roman" w:eastAsia="黑体" w:cs="Times New Roman"/>
          <w:b/>
          <w:bCs/>
          <w:color w:val="000000"/>
          <w:sz w:val="21"/>
          <w:szCs w:val="21"/>
          <w14:textFill>
            <w14:solidFill>
              <w14:srgbClr w14:val="000000">
                <w14:lumMod w14:val="65000"/>
                <w14:lumOff w14:val="35000"/>
              </w14:srgbClr>
            </w14:solidFill>
          </w14:textFill>
        </w:rPr>
      </w:pPr>
      <w:r>
        <w:rPr>
          <w:rFonts w:ascii="Times New Roman" w:hAnsi="Times New Roman" w:eastAsia="黑体" w:cs="Times New Roman"/>
          <w:b/>
          <w:bCs/>
          <w:color w:val="000000"/>
          <w:sz w:val="21"/>
          <w:szCs w:val="21"/>
          <w14:textFill>
            <w14:solidFill>
              <w14:srgbClr w14:val="000000">
                <w14:lumMod w14:val="65000"/>
                <w14:lumOff w14:val="35000"/>
              </w14:srgbClr>
            </w14:solidFill>
          </w14:textFill>
        </w:rPr>
        <w:t>ICS</w:t>
      </w:r>
      <w:r>
        <w:rPr>
          <w:rFonts w:hint="eastAsia" w:ascii="Times New Roman" w:hAnsi="Times New Roman" w:eastAsia="黑体" w:cs="Times New Roman"/>
          <w:b/>
          <w:bCs/>
          <w:color w:val="000000"/>
          <w:sz w:val="21"/>
          <w:szCs w:val="21"/>
          <w14:textFill>
            <w14:solidFill>
              <w14:srgbClr w14:val="000000">
                <w14:lumMod w14:val="65000"/>
                <w14:lumOff w14:val="35000"/>
              </w14:srgbClr>
            </w14:solidFill>
          </w14:textFill>
        </w:rPr>
        <w:t xml:space="preserve">  </w:t>
      </w:r>
      <w:r>
        <w:rPr>
          <w:rFonts w:ascii="Times New Roman" w:hAnsi="Times New Roman" w:eastAsia="黑体" w:cs="Times New Roman"/>
          <w:b/>
          <w:bCs/>
          <w:color w:val="000000"/>
          <w:sz w:val="21"/>
          <w:szCs w:val="21"/>
          <w14:textFill>
            <w14:solidFill>
              <w14:srgbClr w14:val="000000">
                <w14:lumMod w14:val="65000"/>
                <w14:lumOff w14:val="35000"/>
              </w14:srgbClr>
            </w14:solidFill>
          </w14:textFill>
        </w:rPr>
        <w:t>11.040.40</w:t>
      </w:r>
    </w:p>
    <w:p w14:paraId="7965022A">
      <w:pPr>
        <w:pBdr>
          <w:bottom w:val="single" w:color="auto" w:sz="12" w:space="1"/>
        </w:pBdr>
        <w:snapToGrid w:val="0"/>
        <w:spacing w:after="0" w:line="360" w:lineRule="auto"/>
        <w:rPr>
          <w:rFonts w:ascii="Times New Roman" w:hAnsi="Times New Roman" w:eastAsia="黑体" w:cs="Times New Roman"/>
          <w:b/>
          <w:bCs/>
          <w:color w:val="000000"/>
          <w:sz w:val="21"/>
          <w:szCs w:val="21"/>
          <w14:textFill>
            <w14:solidFill>
              <w14:srgbClr w14:val="000000">
                <w14:lumMod w14:val="65000"/>
                <w14:lumOff w14:val="35000"/>
              </w14:srgbClr>
            </w14:solidFill>
          </w14:textFill>
        </w:rPr>
      </w:pPr>
      <w:r>
        <w:rPr>
          <w:rFonts w:ascii="Times New Roman" w:hAnsi="Times New Roman" w:eastAsia="黑体" w:cs="Times New Roman"/>
          <w:b/>
          <w:bCs/>
          <w:color w:val="000000"/>
          <w:sz w:val="21"/>
          <w:szCs w:val="21"/>
          <w14:textFill>
            <w14:solidFill>
              <w14:srgbClr w14:val="000000">
                <w14:lumMod w14:val="65000"/>
                <w14:lumOff w14:val="35000"/>
              </w14:srgbClr>
            </w14:solidFill>
          </w14:textFill>
        </w:rPr>
        <w:t>CCS</w:t>
      </w:r>
      <w:r>
        <w:rPr>
          <w:rFonts w:hint="eastAsia" w:ascii="Times New Roman" w:hAnsi="Times New Roman" w:eastAsia="黑体" w:cs="Times New Roman"/>
          <w:b/>
          <w:bCs/>
          <w:color w:val="000000"/>
          <w:sz w:val="21"/>
          <w:szCs w:val="21"/>
          <w14:textFill>
            <w14:solidFill>
              <w14:srgbClr w14:val="000000">
                <w14:lumMod w14:val="65000"/>
                <w14:lumOff w14:val="35000"/>
              </w14:srgbClr>
            </w14:solidFill>
          </w14:textFill>
        </w:rPr>
        <w:t xml:space="preserve">  </w:t>
      </w:r>
      <w:r>
        <w:rPr>
          <w:rFonts w:ascii="Times New Roman" w:hAnsi="Times New Roman" w:eastAsia="黑体" w:cs="Times New Roman"/>
          <w:b/>
          <w:bCs/>
          <w:color w:val="000000"/>
          <w:sz w:val="21"/>
          <w:szCs w:val="21"/>
          <w14:textFill>
            <w14:solidFill>
              <w14:srgbClr w14:val="000000">
                <w14:lumMod w14:val="65000"/>
                <w14:lumOff w14:val="35000"/>
              </w14:srgbClr>
            </w14:solidFill>
          </w14:textFill>
        </w:rPr>
        <w:t>C</w:t>
      </w:r>
      <w:r>
        <w:rPr>
          <w:rFonts w:hint="eastAsia" w:ascii="Times New Roman" w:hAnsi="Times New Roman" w:eastAsia="黑体" w:cs="Times New Roman"/>
          <w:b/>
          <w:bCs/>
          <w:color w:val="000000"/>
          <w:sz w:val="21"/>
          <w:szCs w:val="21"/>
          <w14:textFill>
            <w14:solidFill>
              <w14:srgbClr w14:val="000000">
                <w14:lumMod w14:val="65000"/>
                <w14:lumOff w14:val="35000"/>
              </w14:srgbClr>
            </w14:solidFill>
          </w14:textFill>
        </w:rPr>
        <w:t xml:space="preserve"> </w:t>
      </w:r>
      <w:r>
        <w:rPr>
          <w:rFonts w:ascii="Times New Roman" w:hAnsi="Times New Roman" w:eastAsia="黑体" w:cs="Times New Roman"/>
          <w:b/>
          <w:bCs/>
          <w:color w:val="000000"/>
          <w:sz w:val="21"/>
          <w:szCs w:val="21"/>
          <w14:textFill>
            <w14:solidFill>
              <w14:srgbClr w14:val="000000">
                <w14:lumMod w14:val="65000"/>
                <w14:lumOff w14:val="35000"/>
              </w14:srgbClr>
            </w14:solidFill>
          </w14:textFill>
        </w:rPr>
        <w:t>35</w:t>
      </w:r>
    </w:p>
    <w:p w14:paraId="331102C4">
      <w:pPr>
        <w:pBdr>
          <w:bottom w:val="single" w:color="auto" w:sz="12" w:space="1"/>
        </w:pBdr>
        <w:snapToGrid w:val="0"/>
        <w:spacing w:after="0"/>
        <w:jc w:val="right"/>
        <w:rPr>
          <w:rFonts w:ascii="Times New Roman" w:hAnsi="Times New Roman" w:eastAsia="宋体" w:cs="Times New Roman"/>
          <w:color w:val="000000"/>
          <w:sz w:val="96"/>
          <w:szCs w:val="96"/>
          <w:lang w:bidi="ar"/>
          <w14:textFill>
            <w14:solidFill>
              <w14:srgbClr w14:val="000000">
                <w14:lumMod w14:val="65000"/>
                <w14:lumOff w14:val="35000"/>
              </w14:srgbClr>
            </w14:solidFill>
          </w14:textFill>
        </w:rPr>
      </w:pPr>
      <w:r>
        <w:rPr>
          <w:rFonts w:ascii="Times New Roman" w:hAnsi="Times New Roman" w:eastAsia="宋体" w:cs="Times New Roman"/>
          <w:color w:val="000000"/>
          <w:sz w:val="96"/>
          <w:szCs w:val="96"/>
          <w:lang w:bidi="ar"/>
          <w14:textFill>
            <w14:solidFill>
              <w14:srgbClr w14:val="000000">
                <w14:lumMod w14:val="65000"/>
                <w14:lumOff w14:val="35000"/>
              </w14:srgbClr>
            </w14:solidFill>
          </w14:textFill>
        </w:rPr>
        <w:t>T/CSBM</w:t>
      </w:r>
    </w:p>
    <w:p w14:paraId="2EA3D645">
      <w:pPr>
        <w:pBdr>
          <w:bottom w:val="single" w:color="auto" w:sz="12" w:space="1"/>
        </w:pBdr>
        <w:snapToGrid w:val="0"/>
        <w:spacing w:after="0"/>
        <w:rPr>
          <w:rFonts w:ascii="Times New Roman" w:hAnsi="Times New Roman" w:eastAsia="宋体" w:cs="Times New Roman"/>
          <w:color w:val="000000"/>
          <w:sz w:val="96"/>
          <w:szCs w:val="96"/>
          <w:lang w:bidi="ar"/>
          <w14:textFill>
            <w14:solidFill>
              <w14:srgbClr w14:val="000000">
                <w14:lumMod w14:val="65000"/>
                <w14:lumOff w14:val="35000"/>
              </w14:srgbClr>
            </w14:solidFill>
          </w14:textFill>
        </w:rPr>
      </w:pPr>
      <w:r>
        <w:rPr>
          <w:rFonts w:ascii="Times New Roman" w:hAnsi="Times New Roman" w:eastAsia="黑体" w:cs="Times New Roman"/>
          <w:color w:val="000000"/>
          <w:sz w:val="48"/>
          <w:szCs w:val="48"/>
          <w:lang w:bidi="ar"/>
          <w14:textFill>
            <w14:solidFill>
              <w14:srgbClr w14:val="000000">
                <w14:lumMod w14:val="65000"/>
                <w14:lumOff w14:val="35000"/>
              </w14:srgbClr>
            </w14:solidFill>
          </w14:textFill>
        </w:rPr>
        <w:t>团         体          标          准</w:t>
      </w:r>
    </w:p>
    <w:p w14:paraId="5E5FF054">
      <w:pPr>
        <w:pBdr>
          <w:bottom w:val="single" w:color="auto" w:sz="12" w:space="1"/>
        </w:pBdr>
        <w:snapToGrid w:val="0"/>
        <w:spacing w:after="0"/>
        <w:jc w:val="right"/>
        <w:rPr>
          <w:rFonts w:ascii="Times New Roman" w:hAnsi="Times New Roman" w:eastAsia="黑体" w:cs="Times New Roman"/>
          <w:color w:val="000000"/>
          <w:sz w:val="28"/>
          <w:szCs w:val="28"/>
          <w:lang w:bidi="ar"/>
          <w14:textFill>
            <w14:solidFill>
              <w14:srgbClr w14:val="000000">
                <w14:lumMod w14:val="65000"/>
                <w14:lumOff w14:val="35000"/>
              </w14:srgbClr>
            </w14:solidFill>
          </w14:textFill>
        </w:rPr>
      </w:pPr>
      <w:r>
        <w:rPr>
          <w:rFonts w:ascii="Times New Roman" w:hAnsi="Times New Roman" w:eastAsia="黑体" w:cs="Times New Roman"/>
          <w:color w:val="000000"/>
          <w:sz w:val="28"/>
          <w:szCs w:val="28"/>
          <w:lang w:bidi="ar"/>
          <w14:textFill>
            <w14:solidFill>
              <w14:srgbClr w14:val="000000">
                <w14:lumMod w14:val="65000"/>
                <w14:lumOff w14:val="35000"/>
              </w14:srgbClr>
            </w14:solidFill>
          </w14:textFill>
        </w:rPr>
        <w:t>T/CSBM XXXX-202</w:t>
      </w:r>
      <w:r>
        <w:rPr>
          <w:rFonts w:hint="eastAsia" w:ascii="Times New Roman" w:hAnsi="Times New Roman" w:eastAsia="黑体" w:cs="Times New Roman"/>
          <w:color w:val="000000"/>
          <w:sz w:val="28"/>
          <w:szCs w:val="28"/>
          <w:lang w:bidi="ar"/>
          <w14:textFill>
            <w14:solidFill>
              <w14:srgbClr w14:val="000000">
                <w14:lumMod w14:val="65000"/>
                <w14:lumOff w14:val="35000"/>
              </w14:srgbClr>
            </w14:solidFill>
          </w14:textFill>
        </w:rPr>
        <w:t>6</w:t>
      </w:r>
    </w:p>
    <w:p w14:paraId="2193A980">
      <w:pPr>
        <w:ind w:firstLine="400"/>
        <w:jc w:val="center"/>
        <w:rPr>
          <w:rFonts w:ascii="Times New Roman" w:hAnsi="Times New Roman" w:cs="Times New Roman"/>
          <w:color w:val="000000"/>
          <w14:textFill>
            <w14:solidFill>
              <w14:srgbClr w14:val="000000">
                <w14:lumMod w14:val="65000"/>
                <w14:lumOff w14:val="35000"/>
              </w14:srgbClr>
            </w14:solidFill>
          </w14:textFill>
        </w:rPr>
      </w:pPr>
    </w:p>
    <w:p w14:paraId="38DA44F4">
      <w:pPr>
        <w:ind w:firstLine="400"/>
        <w:jc w:val="center"/>
        <w:rPr>
          <w:rFonts w:ascii="Times New Roman" w:hAnsi="Times New Roman" w:cs="Times New Roman"/>
          <w:color w:val="000000"/>
          <w14:textFill>
            <w14:solidFill>
              <w14:srgbClr w14:val="000000">
                <w14:lumMod w14:val="65000"/>
                <w14:lumOff w14:val="35000"/>
              </w14:srgbClr>
            </w14:solidFill>
          </w14:textFill>
        </w:rPr>
      </w:pPr>
    </w:p>
    <w:p w14:paraId="289419FC">
      <w:pPr>
        <w:ind w:firstLine="400"/>
        <w:jc w:val="center"/>
        <w:rPr>
          <w:rFonts w:ascii="Times New Roman" w:hAnsi="Times New Roman" w:cs="Times New Roman"/>
          <w:color w:val="000000"/>
          <w14:textFill>
            <w14:solidFill>
              <w14:srgbClr w14:val="000000">
                <w14:lumMod w14:val="65000"/>
                <w14:lumOff w14:val="35000"/>
              </w14:srgbClr>
            </w14:solidFill>
          </w14:textFill>
        </w:rPr>
      </w:pPr>
    </w:p>
    <w:p w14:paraId="54B5AE1D">
      <w:pPr>
        <w:ind w:firstLine="400"/>
        <w:rPr>
          <w:rFonts w:ascii="Times New Roman" w:hAnsi="Times New Roman" w:cs="Times New Roman"/>
          <w:color w:val="000000"/>
          <w14:textFill>
            <w14:solidFill>
              <w14:srgbClr w14:val="000000">
                <w14:lumMod w14:val="65000"/>
                <w14:lumOff w14:val="35000"/>
              </w14:srgbClr>
            </w14:solidFill>
          </w14:textFill>
        </w:rPr>
      </w:pPr>
    </w:p>
    <w:p w14:paraId="58E57902">
      <w:pPr>
        <w:ind w:firstLine="400"/>
        <w:rPr>
          <w:rFonts w:ascii="Times New Roman" w:hAnsi="Times New Roman" w:cs="Times New Roman"/>
          <w:color w:val="000000"/>
          <w14:textFill>
            <w14:solidFill>
              <w14:srgbClr w14:val="000000">
                <w14:lumMod w14:val="65000"/>
                <w14:lumOff w14:val="35000"/>
              </w14:srgbClr>
            </w14:solidFill>
          </w14:textFill>
        </w:rPr>
      </w:pPr>
    </w:p>
    <w:p w14:paraId="76601FD5">
      <w:pPr>
        <w:rPr>
          <w:rFonts w:ascii="Times New Roman" w:hAnsi="Times New Roman" w:cs="Times New Roman"/>
          <w:color w:val="000000"/>
          <w14:textFill>
            <w14:solidFill>
              <w14:srgbClr w14:val="000000">
                <w14:lumMod w14:val="65000"/>
                <w14:lumOff w14:val="35000"/>
              </w14:srgbClr>
            </w14:solidFill>
          </w14:textFill>
        </w:rPr>
      </w:pPr>
    </w:p>
    <w:p w14:paraId="60B233F9">
      <w:pPr>
        <w:snapToGrid w:val="0"/>
        <w:spacing w:after="0" w:line="360" w:lineRule="auto"/>
        <w:jc w:val="center"/>
        <w:rPr>
          <w:rFonts w:ascii="Times New Roman" w:hAnsi="Times New Roman" w:eastAsia="黑体" w:cs="Times New Roman"/>
          <w:b/>
          <w:color w:val="000000"/>
          <w:sz w:val="52"/>
          <w:szCs w:val="52"/>
          <w14:textFill>
            <w14:solidFill>
              <w14:srgbClr w14:val="000000">
                <w14:lumMod w14:val="65000"/>
                <w14:lumOff w14:val="35000"/>
              </w14:srgbClr>
            </w14:solidFill>
          </w14:textFill>
        </w:rPr>
      </w:pPr>
      <w:r>
        <w:rPr>
          <w:rFonts w:hint="eastAsia" w:ascii="Times New Roman" w:hAnsi="Times New Roman" w:eastAsia="黑体" w:cs="Times New Roman"/>
          <w:b/>
          <w:color w:val="000000"/>
          <w:sz w:val="52"/>
          <w:szCs w:val="52"/>
          <w14:textFill>
            <w14:solidFill>
              <w14:srgbClr w14:val="000000">
                <w14:lumMod w14:val="65000"/>
                <w14:lumOff w14:val="35000"/>
              </w14:srgbClr>
            </w14:solidFill>
          </w14:textFill>
        </w:rPr>
        <w:t xml:space="preserve">外科植入物 </w:t>
      </w:r>
      <w:r>
        <w:rPr>
          <w:rFonts w:ascii="Times New Roman" w:hAnsi="Times New Roman" w:eastAsia="黑体" w:cs="Times New Roman"/>
          <w:b/>
          <w:color w:val="000000"/>
          <w:sz w:val="52"/>
          <w:szCs w:val="52"/>
          <w14:textFill>
            <w14:solidFill>
              <w14:srgbClr w14:val="000000">
                <w14:lumMod w14:val="65000"/>
                <w14:lumOff w14:val="35000"/>
              </w14:srgbClr>
            </w14:solidFill>
          </w14:textFill>
        </w:rPr>
        <w:t>可降解镁锌锰合金骨植入材料</w:t>
      </w:r>
    </w:p>
    <w:p w14:paraId="2F80D291">
      <w:pPr>
        <w:snapToGrid w:val="0"/>
        <w:spacing w:after="0" w:line="360" w:lineRule="auto"/>
        <w:jc w:val="center"/>
        <w:rPr>
          <w:rFonts w:hint="eastAsia" w:ascii="Times New Roman" w:hAnsi="Times New Roman" w:eastAsia="黑体" w:cs="Times New Roman"/>
          <w:b/>
          <w:color w:val="auto"/>
          <w:sz w:val="32"/>
          <w:szCs w:val="32"/>
        </w:rPr>
      </w:pPr>
      <w:r>
        <w:rPr>
          <w:rFonts w:hint="eastAsia" w:ascii="Times New Roman" w:hAnsi="Times New Roman" w:eastAsia="黑体" w:cs="Times New Roman"/>
          <w:b/>
          <w:color w:val="auto"/>
          <w:sz w:val="32"/>
          <w:szCs w:val="32"/>
        </w:rPr>
        <w:t>Implants for surgery-</w:t>
      </w:r>
      <w:r>
        <w:rPr>
          <w:rFonts w:hint="eastAsia"/>
          <w:color w:val="auto"/>
          <w:sz w:val="16"/>
          <w:szCs w:val="16"/>
        </w:rPr>
        <w:t xml:space="preserve"> </w:t>
      </w:r>
      <w:r>
        <w:rPr>
          <w:rFonts w:ascii="Times New Roman" w:hAnsi="Times New Roman" w:eastAsia="黑体" w:cs="Times New Roman"/>
          <w:b/>
          <w:color w:val="auto"/>
          <w:sz w:val="32"/>
          <w:szCs w:val="32"/>
        </w:rPr>
        <w:t>Degradable magnesium-zinc-manganese alloy materials for bone implantation</w:t>
      </w:r>
    </w:p>
    <w:p w14:paraId="7C1AC8DB">
      <w:pPr>
        <w:snapToGrid w:val="0"/>
        <w:spacing w:after="0" w:line="360" w:lineRule="auto"/>
        <w:jc w:val="center"/>
        <w:rPr>
          <w:rFonts w:ascii="Times New Roman" w:hAnsi="Times New Roman" w:eastAsia="新宋体" w:cs="Times New Roman"/>
          <w:color w:val="000000"/>
          <w:sz w:val="24"/>
          <w:szCs w:val="24"/>
          <w14:textFill>
            <w14:solidFill>
              <w14:srgbClr w14:val="000000">
                <w14:lumMod w14:val="65000"/>
                <w14:lumOff w14:val="35000"/>
              </w14:srgbClr>
            </w14:solidFill>
          </w14:textFill>
        </w:rPr>
      </w:pPr>
      <w:r>
        <w:rPr>
          <w:rFonts w:hint="eastAsia" w:ascii="Times New Roman" w:hAnsi="Times New Roman" w:eastAsia="新宋体" w:cs="Times New Roman"/>
          <w:b/>
          <w:color w:val="000000"/>
          <w:sz w:val="24"/>
          <w:szCs w:val="24"/>
          <w14:textFill>
            <w14:solidFill>
              <w14:srgbClr w14:val="000000">
                <w14:lumMod w14:val="65000"/>
                <w14:lumOff w14:val="35000"/>
              </w14:srgbClr>
            </w14:solidFill>
          </w14:textFill>
        </w:rPr>
        <w:t>（征求意见稿）</w:t>
      </w:r>
    </w:p>
    <w:p w14:paraId="2A988500">
      <w:pPr>
        <w:snapToGrid w:val="0"/>
        <w:spacing w:after="0" w:line="360" w:lineRule="auto"/>
        <w:ind w:firstLine="480"/>
        <w:rPr>
          <w:rFonts w:ascii="Times New Roman" w:hAnsi="Times New Roman" w:eastAsia="新宋体" w:cs="Times New Roman"/>
          <w:color w:val="000000"/>
          <w:sz w:val="24"/>
          <w:szCs w:val="24"/>
          <w14:textFill>
            <w14:solidFill>
              <w14:srgbClr w14:val="000000">
                <w14:lumMod w14:val="65000"/>
                <w14:lumOff w14:val="35000"/>
              </w14:srgbClr>
            </w14:solidFill>
          </w14:textFill>
        </w:rPr>
      </w:pPr>
    </w:p>
    <w:p w14:paraId="38332C30">
      <w:pPr>
        <w:snapToGrid w:val="0"/>
        <w:spacing w:after="0" w:line="360" w:lineRule="auto"/>
        <w:ind w:firstLine="480"/>
        <w:rPr>
          <w:rFonts w:ascii="Times New Roman" w:hAnsi="Times New Roman" w:eastAsia="新宋体" w:cs="Times New Roman"/>
          <w:color w:val="000000"/>
          <w:sz w:val="24"/>
          <w:szCs w:val="24"/>
          <w14:textFill>
            <w14:solidFill>
              <w14:srgbClr w14:val="000000">
                <w14:lumMod w14:val="65000"/>
                <w14:lumOff w14:val="35000"/>
              </w14:srgbClr>
            </w14:solidFill>
          </w14:textFill>
        </w:rPr>
      </w:pPr>
    </w:p>
    <w:p w14:paraId="1E330974">
      <w:pPr>
        <w:snapToGrid w:val="0"/>
        <w:spacing w:after="0" w:line="360" w:lineRule="auto"/>
        <w:ind w:firstLine="480"/>
        <w:rPr>
          <w:rFonts w:ascii="Times New Roman" w:hAnsi="Times New Roman" w:eastAsia="新宋体" w:cs="Times New Roman"/>
          <w:color w:val="000000"/>
          <w:sz w:val="24"/>
          <w:szCs w:val="24"/>
          <w14:textFill>
            <w14:solidFill>
              <w14:srgbClr w14:val="000000">
                <w14:lumMod w14:val="65000"/>
                <w14:lumOff w14:val="35000"/>
              </w14:srgbClr>
            </w14:solidFill>
          </w14:textFill>
        </w:rPr>
      </w:pPr>
    </w:p>
    <w:p w14:paraId="0737AD74">
      <w:pPr>
        <w:snapToGrid w:val="0"/>
        <w:spacing w:after="0" w:line="360" w:lineRule="auto"/>
        <w:ind w:firstLine="0"/>
        <w:rPr>
          <w:rFonts w:ascii="Times New Roman" w:hAnsi="Times New Roman" w:eastAsia="新宋体" w:cs="Times New Roman"/>
          <w:color w:val="000000"/>
          <w:sz w:val="24"/>
          <w:szCs w:val="24"/>
          <w14:textFill>
            <w14:solidFill>
              <w14:srgbClr w14:val="000000">
                <w14:lumMod w14:val="65000"/>
                <w14:lumOff w14:val="35000"/>
              </w14:srgbClr>
            </w14:solidFill>
          </w14:textFill>
        </w:rPr>
      </w:pPr>
    </w:p>
    <w:p w14:paraId="7E05EDDD">
      <w:pPr>
        <w:snapToGrid w:val="0"/>
        <w:spacing w:after="0" w:line="360" w:lineRule="auto"/>
        <w:rPr>
          <w:rFonts w:ascii="Times New Roman" w:hAnsi="Times New Roman" w:eastAsia="新宋体" w:cs="Times New Roman"/>
          <w:color w:val="000000"/>
          <w:sz w:val="24"/>
          <w:szCs w:val="24"/>
          <w14:textFill>
            <w14:solidFill>
              <w14:srgbClr w14:val="000000">
                <w14:lumMod w14:val="65000"/>
                <w14:lumOff w14:val="35000"/>
              </w14:srgbClr>
            </w14:solidFill>
          </w14:textFill>
        </w:rPr>
      </w:pPr>
    </w:p>
    <w:p w14:paraId="4483365D">
      <w:pPr>
        <w:pBdr>
          <w:bottom w:val="single" w:color="auto" w:sz="12" w:space="1"/>
        </w:pBdr>
        <w:snapToGrid w:val="0"/>
        <w:spacing w:before="100" w:beforeAutospacing="1" w:after="100" w:afterAutospacing="1" w:line="360" w:lineRule="auto"/>
        <w:rPr>
          <w:rFonts w:ascii="Times New Roman" w:hAnsi="Times New Roman" w:eastAsia="黑体" w:cs="Times New Roman"/>
          <w:color w:val="auto"/>
          <w:sz w:val="24"/>
          <w:szCs w:val="24"/>
          <w:highlight w:val="none"/>
        </w:rPr>
      </w:pPr>
      <w:r>
        <w:rPr>
          <w:rFonts w:ascii="Times New Roman" w:hAnsi="Times New Roman" w:eastAsia="黑体" w:cs="Times New Roman"/>
          <w:color w:val="auto"/>
          <w:sz w:val="28"/>
          <w:szCs w:val="28"/>
          <w:highlight w:val="none"/>
        </w:rPr>
        <w:t>202</w:t>
      </w:r>
      <w:r>
        <w:rPr>
          <w:rFonts w:hint="eastAsia" w:ascii="Times New Roman" w:hAnsi="Times New Roman" w:eastAsia="黑体" w:cs="Times New Roman"/>
          <w:color w:val="auto"/>
          <w:sz w:val="28"/>
          <w:szCs w:val="28"/>
          <w:highlight w:val="none"/>
        </w:rPr>
        <w:t>6</w:t>
      </w:r>
      <w:r>
        <w:rPr>
          <w:rFonts w:ascii="Times New Roman" w:hAnsi="Times New Roman" w:eastAsia="黑体" w:cs="Times New Roman"/>
          <w:color w:val="auto"/>
          <w:sz w:val="28"/>
          <w:szCs w:val="28"/>
          <w:highlight w:val="none"/>
        </w:rPr>
        <w:t>-</w:t>
      </w:r>
      <w:r>
        <w:rPr>
          <w:rFonts w:hint="eastAsia" w:ascii="Times New Roman" w:hAnsi="Times New Roman" w:eastAsia="黑体" w:cs="Times New Roman"/>
          <w:color w:val="auto"/>
          <w:sz w:val="28"/>
          <w:szCs w:val="28"/>
          <w:highlight w:val="none"/>
        </w:rPr>
        <w:t>XX</w:t>
      </w:r>
      <w:r>
        <w:rPr>
          <w:rFonts w:ascii="Times New Roman" w:hAnsi="Times New Roman" w:eastAsia="黑体" w:cs="Times New Roman"/>
          <w:color w:val="auto"/>
          <w:sz w:val="28"/>
          <w:szCs w:val="28"/>
          <w:highlight w:val="none"/>
        </w:rPr>
        <w:t>-</w:t>
      </w:r>
      <w:r>
        <w:rPr>
          <w:rFonts w:hint="eastAsia" w:ascii="Times New Roman" w:hAnsi="Times New Roman" w:eastAsia="黑体" w:cs="Times New Roman"/>
          <w:color w:val="auto"/>
          <w:sz w:val="28"/>
          <w:szCs w:val="28"/>
          <w:highlight w:val="none"/>
        </w:rPr>
        <w:t>XX</w:t>
      </w:r>
      <w:r>
        <w:rPr>
          <w:rFonts w:ascii="Times New Roman" w:hAnsi="Times New Roman" w:eastAsia="黑体" w:cs="Times New Roman"/>
          <w:color w:val="auto"/>
          <w:sz w:val="28"/>
          <w:szCs w:val="28"/>
          <w:highlight w:val="none"/>
        </w:rPr>
        <w:t xml:space="preserve"> 发布 </w:t>
      </w:r>
      <w:r>
        <w:rPr>
          <w:rFonts w:ascii="Times New Roman" w:hAnsi="Times New Roman" w:eastAsia="黑体" w:cs="Times New Roman"/>
          <w:color w:val="auto"/>
          <w:sz w:val="24"/>
          <w:szCs w:val="24"/>
          <w:highlight w:val="none"/>
        </w:rPr>
        <w:t xml:space="preserve">                                     </w:t>
      </w:r>
      <w:r>
        <w:rPr>
          <w:rFonts w:ascii="Times New Roman" w:hAnsi="Times New Roman" w:eastAsia="黑体" w:cs="Times New Roman"/>
          <w:color w:val="auto"/>
          <w:sz w:val="28"/>
          <w:szCs w:val="28"/>
          <w:highlight w:val="none"/>
        </w:rPr>
        <w:t>202</w:t>
      </w:r>
      <w:r>
        <w:rPr>
          <w:rFonts w:hint="eastAsia" w:ascii="Times New Roman" w:hAnsi="Times New Roman" w:eastAsia="黑体" w:cs="Times New Roman"/>
          <w:color w:val="auto"/>
          <w:sz w:val="28"/>
          <w:szCs w:val="28"/>
          <w:highlight w:val="none"/>
        </w:rPr>
        <w:t>6</w:t>
      </w:r>
      <w:r>
        <w:rPr>
          <w:rFonts w:ascii="Times New Roman" w:hAnsi="Times New Roman" w:eastAsia="黑体" w:cs="Times New Roman"/>
          <w:color w:val="auto"/>
          <w:sz w:val="28"/>
          <w:szCs w:val="28"/>
          <w:highlight w:val="none"/>
        </w:rPr>
        <w:t>-</w:t>
      </w:r>
      <w:r>
        <w:rPr>
          <w:rFonts w:hint="eastAsia" w:ascii="Times New Roman" w:hAnsi="Times New Roman" w:eastAsia="黑体" w:cs="Times New Roman"/>
          <w:color w:val="auto"/>
          <w:sz w:val="28"/>
          <w:szCs w:val="28"/>
          <w:highlight w:val="none"/>
        </w:rPr>
        <w:t>XX</w:t>
      </w:r>
      <w:r>
        <w:rPr>
          <w:rFonts w:ascii="Times New Roman" w:hAnsi="Times New Roman" w:eastAsia="黑体" w:cs="Times New Roman"/>
          <w:color w:val="auto"/>
          <w:sz w:val="28"/>
          <w:szCs w:val="28"/>
          <w:highlight w:val="none"/>
        </w:rPr>
        <w:t>-</w:t>
      </w:r>
      <w:r>
        <w:rPr>
          <w:rFonts w:hint="eastAsia" w:ascii="Times New Roman" w:hAnsi="Times New Roman" w:eastAsia="黑体" w:cs="Times New Roman"/>
          <w:color w:val="auto"/>
          <w:sz w:val="28"/>
          <w:szCs w:val="28"/>
          <w:highlight w:val="none"/>
        </w:rPr>
        <w:t>X</w:t>
      </w:r>
      <w:r>
        <w:rPr>
          <w:rFonts w:ascii="Times New Roman" w:hAnsi="Times New Roman" w:eastAsia="黑体" w:cs="Times New Roman"/>
          <w:color w:val="auto"/>
          <w:sz w:val="28"/>
          <w:szCs w:val="28"/>
          <w:highlight w:val="none"/>
        </w:rPr>
        <w:t>实施</w:t>
      </w:r>
    </w:p>
    <w:p w14:paraId="78C96A05">
      <w:pPr>
        <w:snapToGrid w:val="0"/>
        <w:spacing w:before="100" w:beforeAutospacing="1" w:after="100" w:afterAutospacing="1" w:line="360" w:lineRule="auto"/>
        <w:jc w:val="center"/>
        <w:rPr>
          <w:rFonts w:ascii="Times New Roman" w:hAnsi="Times New Roman" w:eastAsia="新宋体" w:cs="Times New Roman"/>
          <w:color w:val="000000"/>
          <w:szCs w:val="18"/>
          <w14:textFill>
            <w14:solidFill>
              <w14:srgbClr w14:val="000000">
                <w14:lumMod w14:val="65000"/>
                <w14:lumOff w14:val="35000"/>
              </w14:srgbClr>
            </w14:solidFill>
          </w14:textFill>
        </w:rPr>
      </w:pPr>
      <w:r>
        <w:rPr>
          <w:rFonts w:ascii="Times New Roman" w:hAnsi="Times New Roman" w:eastAsia="小米兰亭" w:cs="Times New Roman"/>
          <w:color w:val="000000"/>
          <w:sz w:val="28"/>
          <w:szCs w:val="28"/>
          <w14:textFill>
            <w14:solidFill>
              <w14:srgbClr w14:val="000000">
                <w14:lumMod w14:val="65000"/>
                <w14:lumOff w14:val="35000"/>
              </w14:srgbClr>
            </w14:solidFill>
          </w14:textFill>
        </w:rPr>
        <w:t>中国生物材料学会  发 布</w:t>
      </w:r>
    </w:p>
    <w:p w14:paraId="61F532A8">
      <w:pPr>
        <w:snapToGrid w:val="0"/>
        <w:spacing w:before="100" w:beforeAutospacing="1" w:after="100" w:afterAutospacing="1" w:line="360" w:lineRule="auto"/>
        <w:jc w:val="center"/>
        <w:rPr>
          <w:rFonts w:ascii="Times New Roman" w:hAnsi="Times New Roman" w:eastAsia="宋体" w:cs="Times New Roman"/>
          <w:b/>
          <w:color w:val="000000"/>
          <w:sz w:val="28"/>
          <w:szCs w:val="28"/>
          <w14:textFill>
            <w14:solidFill>
              <w14:srgbClr w14:val="000000">
                <w14:lumMod w14:val="65000"/>
                <w14:lumOff w14:val="35000"/>
              </w14:srgbClr>
            </w14:solidFill>
          </w14:textFill>
        </w:rPr>
      </w:pPr>
      <w:r>
        <w:rPr>
          <w:rFonts w:ascii="Times New Roman" w:hAnsi="Times New Roman" w:eastAsia="宋体" w:cs="Times New Roman"/>
          <w:b/>
          <w:color w:val="000000"/>
          <w:sz w:val="28"/>
          <w:szCs w:val="28"/>
          <w14:textFill>
            <w14:solidFill>
              <w14:srgbClr w14:val="000000">
                <w14:lumMod w14:val="65000"/>
                <w14:lumOff w14:val="35000"/>
              </w14:srgbClr>
            </w14:solidFill>
          </w14:textFill>
        </w:rPr>
        <w:t>前     言</w:t>
      </w:r>
    </w:p>
    <w:p w14:paraId="16A54627">
      <w:pPr>
        <w:snapToGrid w:val="0"/>
        <w:spacing w:before="100" w:beforeAutospacing="1" w:after="100" w:afterAutospacing="1" w:line="360" w:lineRule="auto"/>
        <w:ind w:firstLine="422"/>
        <w:rPr>
          <w:rFonts w:ascii="Times New Roman" w:hAnsi="Times New Roman" w:eastAsia="宋体" w:cs="Times New Roman"/>
          <w:b/>
          <w:color w:val="000000"/>
          <w:sz w:val="21"/>
          <w:szCs w:val="21"/>
          <w14:textFill>
            <w14:solidFill>
              <w14:srgbClr w14:val="000000">
                <w14:lumMod w14:val="65000"/>
                <w14:lumOff w14:val="35000"/>
              </w14:srgbClr>
            </w14:solidFill>
          </w14:textFill>
        </w:rPr>
      </w:pPr>
    </w:p>
    <w:p w14:paraId="5D8107F4">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本标准依据GB/T 1.1-2020《标准化工作导则 第1部分：标准化文件的结构和起草规则》给出的规范起草。</w:t>
      </w:r>
    </w:p>
    <w:p w14:paraId="3A1B07EA">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本标准由中国生物材料学会提出。</w:t>
      </w:r>
    </w:p>
    <w:p w14:paraId="3A0B618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本标准由中国生物材料学会</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标准工作委员会</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归口。</w:t>
      </w:r>
    </w:p>
    <w:p w14:paraId="61A9DA8D">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本标准起草单位：湖南省中大特冶新材料研究院有限公司、华融科创生物科技（天津）有限公司</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中南大学</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bookmarkStart w:id="0" w:name="_Hlk201676313"/>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上海市第六人民医院</w:t>
      </w:r>
      <w:bookmarkEnd w:id="0"/>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、天津医院</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4C3230E2">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本标准的主要起草人：</w:t>
      </w:r>
      <w:bookmarkStart w:id="1" w:name="_Hlk201676559"/>
      <w:r>
        <w:rPr>
          <w:rFonts w:ascii="Times New Roman" w:hAnsi="Times New Roman" w:eastAsia="宋体" w:cs="Times New Roman"/>
          <w:color w:val="000000"/>
          <w:sz w:val="21"/>
          <w:szCs w:val="21"/>
          <w14:textFill>
            <w14:solidFill>
              <w14:srgbClr w14:val="000000">
                <w14:lumMod w14:val="65000"/>
                <w14:lumOff w14:val="35000"/>
              </w14:srgbClr>
            </w14:solidFill>
          </w14:textFill>
        </w:rPr>
        <w:t>余琨、张忠英</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宋觉敏、</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颜阳、郑宪友、</w:t>
      </w:r>
      <w:bookmarkEnd w:id="1"/>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孙杰、</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潘兵辉、</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赵笑寒、陈绪卓</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3C8A29E4">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p>
    <w:p w14:paraId="1B75D6DD">
      <w:pPr>
        <w:snapToGrid w:val="0"/>
        <w:spacing w:after="0" w:line="360" w:lineRule="auto"/>
        <w:rPr>
          <w:rFonts w:ascii="Times New Roman" w:hAnsi="Times New Roman" w:eastAsia="宋体" w:cs="Times New Roman"/>
          <w:color w:val="000000"/>
          <w:sz w:val="21"/>
          <w:szCs w:val="21"/>
          <w14:textFill>
            <w14:solidFill>
              <w14:srgbClr w14:val="000000">
                <w14:lumMod w14:val="65000"/>
                <w14:lumOff w14:val="35000"/>
              </w14:srgbClr>
            </w14:solidFill>
          </w14:textFill>
        </w:rPr>
      </w:pPr>
    </w:p>
    <w:p w14:paraId="12C09742">
      <w:pPr>
        <w:snapToGrid w:val="0"/>
        <w:spacing w:after="0" w:line="360" w:lineRule="auto"/>
        <w:rPr>
          <w:rFonts w:ascii="Times New Roman" w:hAnsi="Times New Roman" w:eastAsia="宋体" w:cs="Times New Roman"/>
          <w:color w:val="000000"/>
          <w:sz w:val="21"/>
          <w:szCs w:val="21"/>
          <w14:textFill>
            <w14:solidFill>
              <w14:srgbClr w14:val="000000">
                <w14:lumMod w14:val="65000"/>
                <w14:lumOff w14:val="35000"/>
              </w14:srgbClr>
            </w14:solidFill>
          </w14:textFill>
        </w:rPr>
        <w:sectPr>
          <w:pgSz w:w="11906" w:h="16838"/>
          <w:pgMar w:top="1440" w:right="1134" w:bottom="1440" w:left="1797" w:header="851" w:footer="992" w:gutter="0"/>
          <w:cols w:space="425" w:num="1"/>
          <w:docGrid w:type="lines" w:linePitch="312" w:charSpace="0"/>
        </w:sect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bookmarkStart w:id="17" w:name="_GoBack"/>
      <w:bookmarkEnd w:id="17"/>
    </w:p>
    <w:p w14:paraId="01777095">
      <w:pPr>
        <w:snapToGrid w:val="0"/>
        <w:spacing w:before="100" w:beforeAutospacing="1" w:after="100" w:afterAutospacing="1" w:line="360" w:lineRule="auto"/>
        <w:jc w:val="center"/>
        <w:rPr>
          <w:rFonts w:ascii="Times New Roman" w:hAnsi="Times New Roman" w:eastAsia="宋体" w:cs="Times New Roman"/>
          <w:b/>
          <w:color w:val="000000"/>
          <w:sz w:val="28"/>
          <w:szCs w:val="28"/>
          <w14:textFill>
            <w14:solidFill>
              <w14:srgbClr w14:val="000000">
                <w14:lumMod w14:val="65000"/>
                <w14:lumOff w14:val="35000"/>
              </w14:srgbClr>
            </w14:solidFill>
          </w14:textFill>
        </w:rPr>
      </w:pPr>
      <w:r>
        <w:rPr>
          <w:rFonts w:hint="eastAsia" w:ascii="Times New Roman" w:hAnsi="Times New Roman" w:eastAsia="宋体" w:cs="Times New Roman"/>
          <w:b/>
          <w:color w:val="000000"/>
          <w:sz w:val="28"/>
          <w:szCs w:val="28"/>
          <w14:textFill>
            <w14:solidFill>
              <w14:srgbClr w14:val="000000">
                <w14:lumMod w14:val="65000"/>
                <w14:lumOff w14:val="35000"/>
              </w14:srgbClr>
            </w14:solidFill>
          </w14:textFill>
        </w:rPr>
        <w:t xml:space="preserve">外科植入物 </w:t>
      </w:r>
      <w:r>
        <w:rPr>
          <w:rFonts w:ascii="Times New Roman" w:hAnsi="Times New Roman" w:eastAsia="宋体" w:cs="Times New Roman"/>
          <w:b/>
          <w:color w:val="000000"/>
          <w:sz w:val="28"/>
          <w:szCs w:val="28"/>
          <w14:textFill>
            <w14:solidFill>
              <w14:srgbClr w14:val="000000">
                <w14:lumMod w14:val="65000"/>
                <w14:lumOff w14:val="35000"/>
              </w14:srgbClr>
            </w14:solidFill>
          </w14:textFill>
        </w:rPr>
        <w:t>可降解镁锌锰合金骨植入材料</w:t>
      </w:r>
    </w:p>
    <w:p w14:paraId="5E26C10B">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1.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主题内容与适用范围</w:t>
      </w:r>
    </w:p>
    <w:p w14:paraId="0FC8B6B1">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本标准规定了</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外科植入物可降解镁锌锰合金植入材料</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的术语和定义、技术要求、试验方法、检测规则及标志、包装、运输和存储。</w:t>
      </w:r>
    </w:p>
    <w:p w14:paraId="22154E43">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本标准适用于</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制作骨钉、骨板等系列外科植入医用材料用的可降解镁锌锰合金骨植入材料</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26682F64">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2.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引用标准与技术文件</w:t>
      </w:r>
    </w:p>
    <w:p w14:paraId="05EEDB02">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下列文件中的内容通过文中的规范性引用而构成本文必不可少的条款。其中，</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注明</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日期的引用文件，仅该日期对应的版本使用本文件；不注明日期的引用文件，其最新版本使用于本文件。</w:t>
      </w:r>
    </w:p>
    <w:p w14:paraId="3754A0BD">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228.1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金属材料 拉伸试验 第一部分：室温试验方法</w:t>
      </w:r>
    </w:p>
    <w:p w14:paraId="44A7314D">
      <w:pPr>
        <w:snapToGrid w:val="0"/>
        <w:spacing w:after="0" w:line="360" w:lineRule="auto"/>
        <w:ind w:firstLine="420"/>
        <w:rPr>
          <w:rFonts w:ascii="Times New Roman" w:hAnsi="Times New Roman" w:eastAsia="宋体" w:cs="Times New Roman"/>
          <w:sz w:val="21"/>
          <w:szCs w:val="21"/>
        </w:rPr>
      </w:pPr>
      <w:bookmarkStart w:id="2" w:name="_Hlk199490465"/>
      <w:r>
        <w:rPr>
          <w:rFonts w:hint="eastAsia" w:ascii="Times New Roman" w:hAnsi="Times New Roman" w:eastAsia="宋体" w:cs="Times New Roman"/>
          <w:sz w:val="21"/>
          <w:szCs w:val="21"/>
        </w:rPr>
        <w:t>GBT 5155-2022 镁及镁合金热挤压棒材</w:t>
      </w:r>
    </w:p>
    <w:p w14:paraId="5D1B2B1E">
      <w:pPr>
        <w:snapToGrid w:val="0"/>
        <w:spacing w:after="0" w:line="360" w:lineRule="auto"/>
        <w:ind w:firstLine="420"/>
        <w:rPr>
          <w:rFonts w:ascii="Times New Roman" w:hAnsi="Times New Roman" w:eastAsia="宋体" w:cs="Times New Roman"/>
          <w:sz w:val="21"/>
          <w:szCs w:val="21"/>
        </w:rPr>
      </w:pPr>
      <w:r>
        <w:rPr>
          <w:rFonts w:hint="eastAsia" w:ascii="Times New Roman" w:hAnsi="Times New Roman" w:eastAsia="宋体" w:cs="Times New Roman"/>
          <w:sz w:val="21"/>
          <w:szCs w:val="21"/>
        </w:rPr>
        <w:t>GBT 5154-2022 镁及镁合金板、带材</w:t>
      </w:r>
    </w:p>
    <w:p w14:paraId="7651F70F">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20967-2007</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无损检测 目视检测 总则</w:t>
      </w:r>
    </w:p>
    <w:p w14:paraId="4180007F">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3354-2018</w:t>
      </w:r>
      <w:bookmarkEnd w:id="2"/>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金属材料室温弹性模量的测定</w:t>
      </w:r>
    </w:p>
    <w:p w14:paraId="669FE053">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4296</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变形镁合金纤维组织检验方法</w:t>
      </w:r>
    </w:p>
    <w:p w14:paraId="1E6DC857">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GBT 6519-2024 变形铝、镁合金产品超声波检验方法</w:t>
      </w:r>
    </w:p>
    <w:p w14:paraId="74AB7291">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4340.1-2024 金属材料 维氏硬度试验 第1部分：试验方法</w:t>
      </w:r>
    </w:p>
    <w:p w14:paraId="70571105">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r>
        <w:rPr>
          <w:rFonts w:ascii="Times New Roman" w:hAnsi="Times New Roman" w:eastAsia="宋体" w:cs="Times New Roman"/>
          <w:color w:val="000000"/>
          <w:sz w:val="21"/>
          <w:szCs w:val="21"/>
          <w14:textFill>
            <w14:solidFill>
              <w14:srgbClr w14:val="000000">
                <w14:lumMod w14:val="65000"/>
                <w14:lumOff w14:val="35000"/>
              </w14:srgbClr>
            </w14:solidFill>
          </w14:textFill>
        </w:rPr>
        <w:t>镁及镁合金化学分析方法</w:t>
      </w:r>
    </w:p>
    <w:p w14:paraId="5734DFD5">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10123</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金属和合金的腐蚀 基本术语和定义</w:t>
      </w:r>
    </w:p>
    <w:p w14:paraId="227BC154">
      <w:pPr>
        <w:snapToGrid w:val="0"/>
        <w:spacing w:after="0" w:line="360" w:lineRule="auto"/>
        <w:ind w:firstLine="420"/>
        <w:rPr>
          <w:rFonts w:ascii="Times New Roman" w:hAnsi="Times New Roman" w:eastAsia="宋体" w:cs="Times New Roman"/>
          <w:sz w:val="21"/>
          <w:szCs w:val="21"/>
        </w:rPr>
      </w:pPr>
      <w:r>
        <w:rPr>
          <w:rFonts w:hint="eastAsia" w:ascii="Times New Roman" w:hAnsi="Times New Roman" w:eastAsia="宋体" w:cs="Times New Roman"/>
          <w:sz w:val="21"/>
          <w:szCs w:val="21"/>
        </w:rPr>
        <w:t>GB/T 16886.1-2022 医疗器械生物学评价 第1部分：风险管理过程中的评价与试验</w:t>
      </w:r>
    </w:p>
    <w:p w14:paraId="00B469EB">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16886.12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-2023</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医疗器械生物学评价 第12 部分：样品制备与参照材料</w:t>
      </w:r>
    </w:p>
    <w:p w14:paraId="24500AE7">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16886.15</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医疗器械生物学评价 第15部分：金属与合金降解产物的定性与定量</w:t>
      </w:r>
    </w:p>
    <w:p w14:paraId="2DBF120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GB/T 16545-2015 金属和合金的腐蚀及腐蚀试样上的腐蚀产物的清除</w:t>
      </w:r>
    </w:p>
    <w:p w14:paraId="1623F1F9">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2828.1-2012 计数抽检检验程序 第1部分：按接收质量限（AQL）检索的逐批检验抽样计划</w:t>
      </w:r>
    </w:p>
    <w:p w14:paraId="7C06A19A">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GB/T 32792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-2016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镁合金加工产品包装、标志、运输、贮存</w:t>
      </w:r>
    </w:p>
    <w:p w14:paraId="257285B9">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3.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术语和定义</w:t>
      </w:r>
    </w:p>
    <w:p w14:paraId="3580D450">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下列术语和定义适用于本文件。</w:t>
      </w:r>
    </w:p>
    <w:p w14:paraId="2A5DCD31">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3.</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w:t>
      </w:r>
    </w:p>
    <w:p w14:paraId="6B959941">
      <w:pPr>
        <w:snapToGrid w:val="0"/>
        <w:spacing w:before="100" w:beforeAutospacing="1" w:after="100" w:afterAutospacing="1" w:line="360" w:lineRule="auto"/>
        <w:ind w:firstLine="422" w:firstLineChars="20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骨科</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植入</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材料</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Orthopedic </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I</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mplant </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M</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aterials</w:t>
      </w:r>
    </w:p>
    <w:p w14:paraId="65254540">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能够植入人体，治疗骨骼疾患、替换骨组织，恢复骨骼正常生理功能的一种新型高技术生物材料</w:t>
      </w:r>
    </w:p>
    <w:p w14:paraId="61DEA527">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3.</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2</w:t>
      </w:r>
    </w:p>
    <w:p w14:paraId="3572C181">
      <w:pPr>
        <w:snapToGrid w:val="0"/>
        <w:spacing w:before="100" w:beforeAutospacing="1" w:after="100" w:afterAutospacing="1" w:line="360" w:lineRule="auto"/>
        <w:ind w:firstLine="422" w:firstLineChars="20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可降解镁锌锰合金</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 Biodegradable Magnesium Alloy</w:t>
      </w:r>
    </w:p>
    <w:p w14:paraId="0E7640C4">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以镁合金为</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基体，</w:t>
      </w:r>
      <w:r>
        <w:rPr>
          <w:rFonts w:ascii="Times New Roman" w:hAnsi="Times New Roman" w:eastAsia="宋体" w:cs="Times New Roman"/>
          <w:color w:val="000000"/>
          <w:sz w:val="21"/>
          <w:szCs w:val="21"/>
          <w14:textFill>
            <w14:solidFill>
              <w14:srgbClr w14:val="000000">
                <w14:lumMod w14:val="65000"/>
                <w14:lumOff w14:val="35000"/>
              </w14:srgbClr>
            </w14:solidFill>
          </w14:textFill>
        </w:rPr>
        <w:t>能够在体内逐渐被体液腐蚀降解</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用于骨植入或骨修复的一类可降解金属材料。</w:t>
      </w:r>
    </w:p>
    <w:p w14:paraId="699F5CF1">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4.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技术要求</w:t>
      </w:r>
    </w:p>
    <w:p w14:paraId="21BD7D2B">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4.1 化学成分</w:t>
      </w:r>
    </w:p>
    <w:p w14:paraId="7D779882">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化学成分应符合表1的规定。超出表1范围的化学成分，由供需双方协商解决并在订货合同中注明。</w:t>
      </w:r>
    </w:p>
    <w:p w14:paraId="7022B4C6">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表1 可降解镁锌锰合金化学成分</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752"/>
        <w:gridCol w:w="951"/>
        <w:gridCol w:w="970"/>
        <w:gridCol w:w="846"/>
        <w:gridCol w:w="846"/>
        <w:gridCol w:w="846"/>
        <w:gridCol w:w="977"/>
        <w:gridCol w:w="951"/>
        <w:gridCol w:w="1086"/>
      </w:tblGrid>
      <w:tr w14:paraId="5859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3" w:type="dxa"/>
            <w:gridSpan w:val="4"/>
            <w:vAlign w:val="center"/>
          </w:tcPr>
          <w:p w14:paraId="7E7E126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3" w:name="_Hlk201677236"/>
            <w:r>
              <w:rPr>
                <w:rFonts w:ascii="Times New Roman" w:hAnsi="Times New Roman" w:eastAsia="宋体" w:cs="Times New Roman"/>
                <w:color w:val="000000"/>
                <w:sz w:val="21"/>
                <w:szCs w:val="21"/>
                <w14:textFill>
                  <w14:solidFill>
                    <w14:srgbClr w14:val="000000">
                      <w14:lumMod w14:val="65000"/>
                      <w14:lumOff w14:val="35000"/>
                    </w14:srgbClr>
                  </w14:solidFill>
                </w14:textFill>
              </w:rPr>
              <w:t>主要成分（质量分数%）</w:t>
            </w:r>
          </w:p>
        </w:tc>
        <w:tc>
          <w:tcPr>
            <w:tcW w:w="5552" w:type="dxa"/>
            <w:gridSpan w:val="6"/>
            <w:vAlign w:val="center"/>
          </w:tcPr>
          <w:p w14:paraId="4593F63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杂质（质量分数%）</w:t>
            </w:r>
          </w:p>
        </w:tc>
      </w:tr>
      <w:tr w14:paraId="123D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0" w:type="dxa"/>
            <w:vAlign w:val="center"/>
          </w:tcPr>
          <w:p w14:paraId="007ECC1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元素</w:t>
            </w:r>
          </w:p>
        </w:tc>
        <w:tc>
          <w:tcPr>
            <w:tcW w:w="752" w:type="dxa"/>
            <w:vAlign w:val="center"/>
          </w:tcPr>
          <w:p w14:paraId="1B691F9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Mg</w:t>
            </w:r>
          </w:p>
        </w:tc>
        <w:tc>
          <w:tcPr>
            <w:tcW w:w="951" w:type="dxa"/>
            <w:vAlign w:val="center"/>
          </w:tcPr>
          <w:p w14:paraId="2AEEDB4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Zn</w:t>
            </w:r>
          </w:p>
        </w:tc>
        <w:tc>
          <w:tcPr>
            <w:tcW w:w="970" w:type="dxa"/>
            <w:vAlign w:val="center"/>
          </w:tcPr>
          <w:p w14:paraId="285DE5F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Mn</w:t>
            </w:r>
          </w:p>
        </w:tc>
        <w:tc>
          <w:tcPr>
            <w:tcW w:w="846" w:type="dxa"/>
            <w:vAlign w:val="center"/>
          </w:tcPr>
          <w:p w14:paraId="354C811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Si</w:t>
            </w:r>
          </w:p>
        </w:tc>
        <w:tc>
          <w:tcPr>
            <w:tcW w:w="846" w:type="dxa"/>
            <w:vAlign w:val="center"/>
          </w:tcPr>
          <w:p w14:paraId="5301730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Al</w:t>
            </w:r>
          </w:p>
        </w:tc>
        <w:tc>
          <w:tcPr>
            <w:tcW w:w="846" w:type="dxa"/>
            <w:vAlign w:val="center"/>
          </w:tcPr>
          <w:p w14:paraId="79A7056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Fe</w:t>
            </w:r>
          </w:p>
        </w:tc>
        <w:tc>
          <w:tcPr>
            <w:tcW w:w="977" w:type="dxa"/>
            <w:vAlign w:val="center"/>
          </w:tcPr>
          <w:p w14:paraId="1786725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Cu</w:t>
            </w:r>
          </w:p>
        </w:tc>
        <w:tc>
          <w:tcPr>
            <w:tcW w:w="951" w:type="dxa"/>
            <w:vAlign w:val="center"/>
          </w:tcPr>
          <w:p w14:paraId="1BDD699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Ni</w:t>
            </w:r>
          </w:p>
        </w:tc>
        <w:tc>
          <w:tcPr>
            <w:tcW w:w="1086" w:type="dxa"/>
            <w:vAlign w:val="center"/>
          </w:tcPr>
          <w:p w14:paraId="1829AF7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其他合计</w:t>
            </w:r>
          </w:p>
        </w:tc>
      </w:tr>
      <w:tr w14:paraId="0132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0" w:type="dxa"/>
            <w:vAlign w:val="center"/>
          </w:tcPr>
          <w:p w14:paraId="4B0C9B1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含量</w:t>
            </w:r>
          </w:p>
        </w:tc>
        <w:tc>
          <w:tcPr>
            <w:tcW w:w="752" w:type="dxa"/>
            <w:vAlign w:val="center"/>
          </w:tcPr>
          <w:p w14:paraId="3DA5B98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余量</w:t>
            </w:r>
          </w:p>
        </w:tc>
        <w:tc>
          <w:tcPr>
            <w:tcW w:w="951" w:type="dxa"/>
            <w:vAlign w:val="center"/>
          </w:tcPr>
          <w:p w14:paraId="19CAA45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p>
        </w:tc>
        <w:tc>
          <w:tcPr>
            <w:tcW w:w="970" w:type="dxa"/>
            <w:vAlign w:val="center"/>
          </w:tcPr>
          <w:p w14:paraId="0E10727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w:t>
            </w:r>
          </w:p>
        </w:tc>
        <w:tc>
          <w:tcPr>
            <w:tcW w:w="846" w:type="dxa"/>
            <w:vAlign w:val="center"/>
          </w:tcPr>
          <w:p w14:paraId="2803B0D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≤0.01</w:t>
            </w:r>
          </w:p>
        </w:tc>
        <w:tc>
          <w:tcPr>
            <w:tcW w:w="846" w:type="dxa"/>
            <w:vAlign w:val="center"/>
          </w:tcPr>
          <w:p w14:paraId="30A42D1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≤0.01</w:t>
            </w:r>
          </w:p>
        </w:tc>
        <w:tc>
          <w:tcPr>
            <w:tcW w:w="846" w:type="dxa"/>
            <w:vAlign w:val="center"/>
          </w:tcPr>
          <w:p w14:paraId="2563281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≤0.01</w:t>
            </w:r>
          </w:p>
        </w:tc>
        <w:tc>
          <w:tcPr>
            <w:tcW w:w="977" w:type="dxa"/>
            <w:vAlign w:val="center"/>
          </w:tcPr>
          <w:p w14:paraId="6805FEE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≤0.002</w:t>
            </w:r>
          </w:p>
        </w:tc>
        <w:tc>
          <w:tcPr>
            <w:tcW w:w="951" w:type="dxa"/>
            <w:vAlign w:val="center"/>
          </w:tcPr>
          <w:p w14:paraId="4910CA1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≤0.001</w:t>
            </w:r>
          </w:p>
        </w:tc>
        <w:tc>
          <w:tcPr>
            <w:tcW w:w="1086" w:type="dxa"/>
            <w:vAlign w:val="center"/>
          </w:tcPr>
          <w:p w14:paraId="2426D7D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≤0.05</w:t>
            </w:r>
          </w:p>
        </w:tc>
      </w:tr>
      <w:bookmarkEnd w:id="3"/>
    </w:tbl>
    <w:p w14:paraId="76D631D8">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4.2 状态及规格</w:t>
      </w:r>
    </w:p>
    <w:p w14:paraId="124317F8">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可降解镁锌锰合金材料的状态及规格应符合表2的规定。超出表2规格范围的订货要求，由供需双方协商解决并在订货合同中注明。</w:t>
      </w:r>
    </w:p>
    <w:p w14:paraId="32FB44B6">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表2 可降解镁锌锰合金材料状态及规格</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2035"/>
        <w:gridCol w:w="1890"/>
        <w:gridCol w:w="726"/>
        <w:gridCol w:w="1018"/>
        <w:gridCol w:w="1928"/>
      </w:tblGrid>
      <w:tr w14:paraId="103B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restart"/>
            <w:vAlign w:val="center"/>
          </w:tcPr>
          <w:p w14:paraId="6C87B5C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4" w:name="_Hlk201677261"/>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材料形态</w:t>
            </w:r>
          </w:p>
        </w:tc>
        <w:tc>
          <w:tcPr>
            <w:tcW w:w="1107" w:type="pct"/>
            <w:vMerge w:val="restart"/>
            <w:vAlign w:val="center"/>
          </w:tcPr>
          <w:p w14:paraId="2D54C3C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供应状态</w:t>
            </w:r>
          </w:p>
        </w:tc>
        <w:tc>
          <w:tcPr>
            <w:tcW w:w="3026" w:type="pct"/>
            <w:gridSpan w:val="4"/>
            <w:vAlign w:val="center"/>
          </w:tcPr>
          <w:p w14:paraId="27E8276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规格/mm</w:t>
            </w:r>
          </w:p>
        </w:tc>
      </w:tr>
      <w:tr w14:paraId="4651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51B34CE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Merge w:val="continue"/>
            <w:vAlign w:val="center"/>
          </w:tcPr>
          <w:p w14:paraId="669A17B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423" w:type="pct"/>
            <w:gridSpan w:val="2"/>
            <w:vAlign w:val="center"/>
          </w:tcPr>
          <w:p w14:paraId="408D244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直径d</w:t>
            </w:r>
          </w:p>
        </w:tc>
        <w:tc>
          <w:tcPr>
            <w:tcW w:w="1603" w:type="pct"/>
            <w:gridSpan w:val="2"/>
            <w:vAlign w:val="center"/>
          </w:tcPr>
          <w:p w14:paraId="01B6366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长度</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l</w:t>
            </w:r>
          </w:p>
        </w:tc>
      </w:tr>
      <w:tr w14:paraId="51CE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restart"/>
            <w:vAlign w:val="center"/>
          </w:tcPr>
          <w:p w14:paraId="4A9E14A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丝材</w:t>
            </w:r>
          </w:p>
        </w:tc>
        <w:tc>
          <w:tcPr>
            <w:tcW w:w="1107" w:type="pct"/>
            <w:vAlign w:val="center"/>
          </w:tcPr>
          <w:p w14:paraId="2D8AA8A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423" w:type="pct"/>
            <w:gridSpan w:val="2"/>
            <w:vAlign w:val="center"/>
          </w:tcPr>
          <w:p w14:paraId="3B74D6A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1.0≤d＜3.0</w:t>
            </w:r>
          </w:p>
        </w:tc>
        <w:tc>
          <w:tcPr>
            <w:tcW w:w="1603" w:type="pct"/>
            <w:gridSpan w:val="2"/>
            <w:vAlign w:val="center"/>
          </w:tcPr>
          <w:p w14:paraId="0C5C73A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06FB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7F4EC5E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0C0A350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423" w:type="pct"/>
            <w:gridSpan w:val="2"/>
            <w:vAlign w:val="center"/>
          </w:tcPr>
          <w:p w14:paraId="7EA079B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1.0≤d＜3.0</w:t>
            </w:r>
          </w:p>
        </w:tc>
        <w:tc>
          <w:tcPr>
            <w:tcW w:w="1603" w:type="pct"/>
            <w:gridSpan w:val="2"/>
            <w:vAlign w:val="center"/>
          </w:tcPr>
          <w:p w14:paraId="6D69980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3A00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66DF5A9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21A2AA3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423" w:type="pct"/>
            <w:gridSpan w:val="2"/>
            <w:vAlign w:val="center"/>
          </w:tcPr>
          <w:p w14:paraId="7869FB7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1.0≤d＜3.0</w:t>
            </w:r>
          </w:p>
        </w:tc>
        <w:tc>
          <w:tcPr>
            <w:tcW w:w="1603" w:type="pct"/>
            <w:gridSpan w:val="2"/>
            <w:vAlign w:val="center"/>
          </w:tcPr>
          <w:p w14:paraId="14E1EAF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2B7B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restart"/>
            <w:vAlign w:val="center"/>
          </w:tcPr>
          <w:p w14:paraId="48EEBC9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棒材</w:t>
            </w:r>
          </w:p>
        </w:tc>
        <w:tc>
          <w:tcPr>
            <w:tcW w:w="1107" w:type="pct"/>
            <w:vAlign w:val="center"/>
          </w:tcPr>
          <w:p w14:paraId="09C609A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423" w:type="pct"/>
            <w:gridSpan w:val="2"/>
            <w:vAlign w:val="center"/>
          </w:tcPr>
          <w:p w14:paraId="0D6E38B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3.0≤d＜20.0</w:t>
            </w:r>
          </w:p>
        </w:tc>
        <w:tc>
          <w:tcPr>
            <w:tcW w:w="1603" w:type="pct"/>
            <w:gridSpan w:val="2"/>
            <w:vAlign w:val="center"/>
          </w:tcPr>
          <w:p w14:paraId="5882C2E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295F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32AD3FE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3B79462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423" w:type="pct"/>
            <w:gridSpan w:val="2"/>
            <w:vAlign w:val="center"/>
          </w:tcPr>
          <w:p w14:paraId="368519B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3.0≤d＜20.0</w:t>
            </w:r>
          </w:p>
        </w:tc>
        <w:tc>
          <w:tcPr>
            <w:tcW w:w="1603" w:type="pct"/>
            <w:gridSpan w:val="2"/>
            <w:vAlign w:val="center"/>
          </w:tcPr>
          <w:p w14:paraId="2B38494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1997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4C641A9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375D935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423" w:type="pct"/>
            <w:gridSpan w:val="2"/>
            <w:vAlign w:val="center"/>
          </w:tcPr>
          <w:p w14:paraId="1BEA1AB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3.0≤d＜20.0</w:t>
            </w:r>
          </w:p>
        </w:tc>
        <w:tc>
          <w:tcPr>
            <w:tcW w:w="1603" w:type="pct"/>
            <w:gridSpan w:val="2"/>
            <w:vAlign w:val="center"/>
          </w:tcPr>
          <w:p w14:paraId="7F0FBB7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300.0≤l≤2000.0</w:t>
            </w:r>
          </w:p>
        </w:tc>
      </w:tr>
      <w:tr w14:paraId="4246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restart"/>
            <w:vAlign w:val="center"/>
          </w:tcPr>
          <w:p w14:paraId="6AFC2EA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板材</w:t>
            </w:r>
          </w:p>
        </w:tc>
        <w:tc>
          <w:tcPr>
            <w:tcW w:w="1107" w:type="pct"/>
            <w:vAlign w:val="center"/>
          </w:tcPr>
          <w:p w14:paraId="67970DB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028" w:type="pct"/>
            <w:vAlign w:val="center"/>
          </w:tcPr>
          <w:p w14:paraId="28F61D4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厚度h</w:t>
            </w:r>
          </w:p>
        </w:tc>
        <w:tc>
          <w:tcPr>
            <w:tcW w:w="949" w:type="pct"/>
            <w:gridSpan w:val="2"/>
            <w:vAlign w:val="center"/>
          </w:tcPr>
          <w:p w14:paraId="04CE8AB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宽度w</w:t>
            </w:r>
          </w:p>
        </w:tc>
        <w:tc>
          <w:tcPr>
            <w:tcW w:w="1050" w:type="pct"/>
            <w:vAlign w:val="center"/>
          </w:tcPr>
          <w:p w14:paraId="02AD028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长度l</w:t>
            </w:r>
          </w:p>
        </w:tc>
      </w:tr>
      <w:tr w14:paraId="702C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2974423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6C1E2D7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028" w:type="pct"/>
            <w:vAlign w:val="center"/>
          </w:tcPr>
          <w:p w14:paraId="5CC44D5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1.0≤h＜10.0</w:t>
            </w:r>
          </w:p>
        </w:tc>
        <w:tc>
          <w:tcPr>
            <w:tcW w:w="949" w:type="pct"/>
            <w:gridSpan w:val="2"/>
            <w:vAlign w:val="center"/>
          </w:tcPr>
          <w:p w14:paraId="71D79AC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25.0≤w≤100.0</w:t>
            </w:r>
          </w:p>
        </w:tc>
        <w:tc>
          <w:tcPr>
            <w:tcW w:w="1050" w:type="pct"/>
            <w:vAlign w:val="center"/>
          </w:tcPr>
          <w:p w14:paraId="775AC45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100.0≤l≤2000.0</w:t>
            </w:r>
          </w:p>
        </w:tc>
      </w:tr>
      <w:tr w14:paraId="0509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7476E80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10AFE24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028" w:type="pct"/>
            <w:vAlign w:val="center"/>
          </w:tcPr>
          <w:p w14:paraId="4687BAB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1.0≤h＜10.0</w:t>
            </w:r>
          </w:p>
        </w:tc>
        <w:tc>
          <w:tcPr>
            <w:tcW w:w="949" w:type="pct"/>
            <w:gridSpan w:val="2"/>
            <w:vAlign w:val="center"/>
          </w:tcPr>
          <w:p w14:paraId="6013F0C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25.0≤w＜100.0</w:t>
            </w:r>
          </w:p>
        </w:tc>
        <w:tc>
          <w:tcPr>
            <w:tcW w:w="1050" w:type="pct"/>
            <w:vAlign w:val="center"/>
          </w:tcPr>
          <w:p w14:paraId="7808CF6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100.0≤l≤2000.0</w:t>
            </w:r>
          </w:p>
        </w:tc>
      </w:tr>
      <w:tr w14:paraId="0776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7" w:type="pct"/>
            <w:vMerge w:val="continue"/>
            <w:vAlign w:val="center"/>
          </w:tcPr>
          <w:p w14:paraId="4BEA2C2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107" w:type="pct"/>
            <w:vAlign w:val="center"/>
          </w:tcPr>
          <w:p w14:paraId="71ACD5C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028" w:type="pct"/>
            <w:vAlign w:val="center"/>
          </w:tcPr>
          <w:p w14:paraId="0E92AFB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1.0≤h＜10.0</w:t>
            </w:r>
          </w:p>
        </w:tc>
        <w:tc>
          <w:tcPr>
            <w:tcW w:w="949" w:type="pct"/>
            <w:gridSpan w:val="2"/>
            <w:vAlign w:val="center"/>
          </w:tcPr>
          <w:p w14:paraId="2C6C4A7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25.0≤w≤100.0</w:t>
            </w:r>
          </w:p>
        </w:tc>
        <w:tc>
          <w:tcPr>
            <w:tcW w:w="1050" w:type="pct"/>
            <w:vAlign w:val="center"/>
          </w:tcPr>
          <w:p w14:paraId="51716D2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100.0≤l≤2000.0</w:t>
            </w:r>
          </w:p>
        </w:tc>
      </w:tr>
      <w:bookmarkEnd w:id="4"/>
    </w:tbl>
    <w:p w14:paraId="60C79C61">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4.3 标记</w:t>
      </w:r>
    </w:p>
    <w:p w14:paraId="64C70FD3">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产品应按产品名称、牌号、状态和规格的顺序表示。</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其中镁合金牌号采用ZMxy，ZM为添加元素Zn、Mn的元素缩写，x为Zn元素质量分数，y为Mn元素质量分数，</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四舍五入到最接近的整数</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43B702A5">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示例如下：</w:t>
      </w:r>
    </w:p>
    <w:p w14:paraId="5EED4A7B">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Mg-2%Zn-2%Mn</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直径8.00mm、长度1500.00mm的</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半硬态</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棒材，标记为：可降解镁锌锰合金ZM</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22-H</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d</w:t>
      </w:r>
      <w:r>
        <w:rPr>
          <w:rFonts w:ascii="Times New Roman" w:hAnsi="Times New Roman" w:eastAsia="宋体" w:cs="Times New Roman"/>
          <w:color w:val="000000"/>
          <w:sz w:val="21"/>
          <w:szCs w:val="21"/>
          <w14:textFill>
            <w14:solidFill>
              <w14:srgbClr w14:val="000000">
                <w14:lumMod w14:val="65000"/>
                <w14:lumOff w14:val="35000"/>
              </w14:srgbClr>
            </w14:solidFill>
          </w14:textFill>
        </w:rPr>
        <w:t>8×1500。</w:t>
      </w:r>
    </w:p>
    <w:p w14:paraId="504F4905">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Mg-1%Zn-1%Mn厚度2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.00mm、</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宽度30.00mm、</w:t>
      </w:r>
      <w:r>
        <w:rPr>
          <w:rFonts w:ascii="Times New Roman" w:hAnsi="Times New Roman" w:eastAsia="宋体" w:cs="Times New Roman"/>
          <w:color w:val="000000"/>
          <w:sz w:val="21"/>
          <w:szCs w:val="21"/>
          <w14:textFill>
            <w14:solidFill>
              <w14:srgbClr w14:val="000000">
                <w14:lumMod w14:val="65000"/>
                <w14:lumOff w14:val="35000"/>
              </w14:srgbClr>
            </w14:solidFill>
          </w14:textFill>
        </w:rPr>
        <w:t>长度1500.00mm的</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软态板材</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，标记为：可降解镁锌锰合金ZM</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11-O</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1500。</w:t>
      </w:r>
    </w:p>
    <w:p w14:paraId="0CB113B8">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4.4 尺寸偏差</w:t>
      </w:r>
    </w:p>
    <w:p w14:paraId="004E3797">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可降解镁锌锰合金材料的直径与长度允许偏差</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参</w:t>
      </w:r>
      <w:r>
        <w:rPr>
          <w:rFonts w:hint="eastAsia" w:ascii="Times New Roman" w:hAnsi="Times New Roman" w:eastAsia="宋体" w:cs="Times New Roman"/>
          <w:sz w:val="21"/>
          <w:szCs w:val="21"/>
        </w:rPr>
        <w:t>考GBT 5155-2022与GBT 5154-2022相关规定，具体数值</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应符合表3规定。</w:t>
      </w:r>
    </w:p>
    <w:p w14:paraId="53B742BE">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表3 可降解镁锌锰合金材料的直径与长度允许偏差</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563"/>
        <w:gridCol w:w="1559"/>
        <w:gridCol w:w="1134"/>
        <w:gridCol w:w="1997"/>
        <w:gridCol w:w="1586"/>
      </w:tblGrid>
      <w:tr w14:paraId="7339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gridSpan w:val="2"/>
            <w:vAlign w:val="center"/>
          </w:tcPr>
          <w:p w14:paraId="3888574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5" w:name="_Hlk201677277"/>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尺寸范围/mm</w:t>
            </w:r>
          </w:p>
        </w:tc>
        <w:tc>
          <w:tcPr>
            <w:tcW w:w="1559" w:type="dxa"/>
            <w:vAlign w:val="center"/>
          </w:tcPr>
          <w:p w14:paraId="6189285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允许偏差/mm</w:t>
            </w:r>
          </w:p>
        </w:tc>
        <w:tc>
          <w:tcPr>
            <w:tcW w:w="3131" w:type="dxa"/>
            <w:gridSpan w:val="2"/>
            <w:vAlign w:val="center"/>
          </w:tcPr>
          <w:p w14:paraId="65DE755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尺寸范围/mm</w:t>
            </w:r>
          </w:p>
        </w:tc>
        <w:tc>
          <w:tcPr>
            <w:tcW w:w="1586" w:type="dxa"/>
            <w:vAlign w:val="center"/>
          </w:tcPr>
          <w:p w14:paraId="22495B1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允许偏差/mm</w:t>
            </w:r>
          </w:p>
        </w:tc>
      </w:tr>
      <w:tr w14:paraId="6599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6" w:type="dxa"/>
            <w:vMerge w:val="restart"/>
            <w:vAlign w:val="center"/>
          </w:tcPr>
          <w:p w14:paraId="6F5B447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直径d</w:t>
            </w:r>
          </w:p>
        </w:tc>
        <w:tc>
          <w:tcPr>
            <w:tcW w:w="1563" w:type="dxa"/>
            <w:vAlign w:val="center"/>
          </w:tcPr>
          <w:p w14:paraId="1B5D9D6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1.0≤d＜3.0</w:t>
            </w:r>
          </w:p>
        </w:tc>
        <w:tc>
          <w:tcPr>
            <w:tcW w:w="1559" w:type="dxa"/>
            <w:vAlign w:val="center"/>
          </w:tcPr>
          <w:p w14:paraId="716C907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±0.1</w:t>
            </w:r>
          </w:p>
        </w:tc>
        <w:tc>
          <w:tcPr>
            <w:tcW w:w="1134" w:type="dxa"/>
            <w:vAlign w:val="center"/>
          </w:tcPr>
          <w:p w14:paraId="6CEE544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宽度w</w:t>
            </w:r>
          </w:p>
        </w:tc>
        <w:tc>
          <w:tcPr>
            <w:tcW w:w="1997" w:type="dxa"/>
            <w:vAlign w:val="center"/>
          </w:tcPr>
          <w:p w14:paraId="0E252DF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25.0≤w≤100.0</w:t>
            </w:r>
          </w:p>
        </w:tc>
        <w:tc>
          <w:tcPr>
            <w:tcW w:w="1586" w:type="dxa"/>
            <w:vAlign w:val="center"/>
          </w:tcPr>
          <w:p w14:paraId="43606F4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w:t>
            </w:r>
          </w:p>
        </w:tc>
      </w:tr>
      <w:tr w14:paraId="55B7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26" w:type="dxa"/>
            <w:vMerge w:val="continue"/>
            <w:vAlign w:val="center"/>
          </w:tcPr>
          <w:p w14:paraId="3FBBEA5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563" w:type="dxa"/>
            <w:vAlign w:val="center"/>
          </w:tcPr>
          <w:p w14:paraId="271A011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3.0≤d＜20.0</w:t>
            </w:r>
          </w:p>
        </w:tc>
        <w:tc>
          <w:tcPr>
            <w:tcW w:w="1559" w:type="dxa"/>
            <w:vAlign w:val="center"/>
          </w:tcPr>
          <w:p w14:paraId="2BA8C85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±0.5</w:t>
            </w:r>
          </w:p>
        </w:tc>
        <w:tc>
          <w:tcPr>
            <w:tcW w:w="1134" w:type="dxa"/>
            <w:vMerge w:val="restart"/>
            <w:vAlign w:val="center"/>
          </w:tcPr>
          <w:p w14:paraId="051B7F0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长度l</w:t>
            </w:r>
          </w:p>
        </w:tc>
        <w:tc>
          <w:tcPr>
            <w:tcW w:w="1997" w:type="dxa"/>
            <w:vAlign w:val="center"/>
          </w:tcPr>
          <w:p w14:paraId="0AE561A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l.0＜800.0</w:t>
            </w:r>
          </w:p>
        </w:tc>
        <w:tc>
          <w:tcPr>
            <w:tcW w:w="1586" w:type="dxa"/>
            <w:vAlign w:val="center"/>
          </w:tcPr>
          <w:p w14:paraId="1CDFEDE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w:t>
            </w:r>
          </w:p>
        </w:tc>
      </w:tr>
      <w:tr w14:paraId="4847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6" w:type="dxa"/>
            <w:vMerge w:val="restart"/>
            <w:vAlign w:val="center"/>
          </w:tcPr>
          <w:p w14:paraId="7CEA095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厚度h</w:t>
            </w:r>
          </w:p>
        </w:tc>
        <w:tc>
          <w:tcPr>
            <w:tcW w:w="1563" w:type="dxa"/>
            <w:vAlign w:val="center"/>
          </w:tcPr>
          <w:p w14:paraId="39766E6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1.0≤h＜3.0</w:t>
            </w:r>
          </w:p>
        </w:tc>
        <w:tc>
          <w:tcPr>
            <w:tcW w:w="1559" w:type="dxa"/>
            <w:vAlign w:val="center"/>
          </w:tcPr>
          <w:p w14:paraId="0F757C9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±0.1</w:t>
            </w:r>
          </w:p>
        </w:tc>
        <w:tc>
          <w:tcPr>
            <w:tcW w:w="1134" w:type="dxa"/>
            <w:vMerge w:val="continue"/>
            <w:vAlign w:val="center"/>
          </w:tcPr>
          <w:p w14:paraId="2939A8A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997" w:type="dxa"/>
            <w:vAlign w:val="center"/>
          </w:tcPr>
          <w:p w14:paraId="240751C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800.0≤l＜1200.0</w:t>
            </w:r>
          </w:p>
        </w:tc>
        <w:tc>
          <w:tcPr>
            <w:tcW w:w="1586" w:type="dxa"/>
            <w:vAlign w:val="center"/>
          </w:tcPr>
          <w:p w14:paraId="47D8191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±4.0</w:t>
            </w:r>
          </w:p>
        </w:tc>
      </w:tr>
      <w:tr w14:paraId="75A2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6" w:type="dxa"/>
            <w:vMerge w:val="continue"/>
            <w:vAlign w:val="center"/>
          </w:tcPr>
          <w:p w14:paraId="0759FE2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563" w:type="dxa"/>
            <w:vAlign w:val="center"/>
          </w:tcPr>
          <w:p w14:paraId="2278C46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3.0≤h＜10.0</w:t>
            </w:r>
          </w:p>
        </w:tc>
        <w:tc>
          <w:tcPr>
            <w:tcW w:w="1559" w:type="dxa"/>
            <w:vAlign w:val="center"/>
          </w:tcPr>
          <w:p w14:paraId="0E13D59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±0.5</w:t>
            </w:r>
          </w:p>
        </w:tc>
        <w:tc>
          <w:tcPr>
            <w:tcW w:w="1134" w:type="dxa"/>
            <w:vMerge w:val="continue"/>
            <w:vAlign w:val="center"/>
          </w:tcPr>
          <w:p w14:paraId="29F6262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997" w:type="dxa"/>
            <w:vAlign w:val="center"/>
          </w:tcPr>
          <w:p w14:paraId="63234CC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1200.0≤l＜2000.0</w:t>
            </w:r>
          </w:p>
        </w:tc>
        <w:tc>
          <w:tcPr>
            <w:tcW w:w="1586" w:type="dxa"/>
            <w:vAlign w:val="center"/>
          </w:tcPr>
          <w:p w14:paraId="5C459CF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±5.0</w:t>
            </w:r>
          </w:p>
        </w:tc>
      </w:tr>
      <w:bookmarkEnd w:id="5"/>
    </w:tbl>
    <w:p w14:paraId="093585CE">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4.5 外观</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与</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质量</w:t>
      </w:r>
    </w:p>
    <w:p w14:paraId="655AD9DE">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可降解镁锌锰合金材料表面应洁净、光滑，不允许有裂纹、</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起皮、气泡</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分层和各种</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夹杂</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压入</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69651607">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超声波无损探伤等级应符合GBT 6519-2024中规定的AAA级别要求。</w:t>
      </w:r>
    </w:p>
    <w:p w14:paraId="660AF876">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4.6 显微组织</w:t>
      </w:r>
    </w:p>
    <w:p w14:paraId="4DEAB29D">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可降解镁锌锰合金材料显微组织最大晶粒尺寸≤50μm。</w:t>
      </w:r>
    </w:p>
    <w:p w14:paraId="3FD31284">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4.7 力学性能</w:t>
      </w:r>
    </w:p>
    <w:p w14:paraId="1F7A37DC">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可降解镁锌锰合金材料力学性能应符合表4要求。</w:t>
      </w:r>
    </w:p>
    <w:p w14:paraId="2EBDA799">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表4 可降解镁锌锰合金材料力学性能</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842"/>
        <w:gridCol w:w="1559"/>
        <w:gridCol w:w="1985"/>
        <w:gridCol w:w="1276"/>
        <w:gridCol w:w="1173"/>
      </w:tblGrid>
      <w:tr w14:paraId="6FD3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130" w:type="dxa"/>
            <w:vAlign w:val="center"/>
          </w:tcPr>
          <w:p w14:paraId="3CD366A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6" w:name="_Hlk201677307"/>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材料形态</w:t>
            </w:r>
          </w:p>
        </w:tc>
        <w:tc>
          <w:tcPr>
            <w:tcW w:w="1842" w:type="dxa"/>
            <w:vAlign w:val="center"/>
          </w:tcPr>
          <w:p w14:paraId="15161F3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供应状态</w:t>
            </w:r>
          </w:p>
        </w:tc>
        <w:tc>
          <w:tcPr>
            <w:tcW w:w="1559" w:type="dxa"/>
            <w:vAlign w:val="center"/>
          </w:tcPr>
          <w:p w14:paraId="0CB82ED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抗拉强度Rm/MPa</w:t>
            </w:r>
          </w:p>
        </w:tc>
        <w:tc>
          <w:tcPr>
            <w:tcW w:w="1985" w:type="dxa"/>
            <w:vAlign w:val="center"/>
          </w:tcPr>
          <w:p w14:paraId="10E9A7E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屈服</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强度Rp0.2/MPa</w:t>
            </w:r>
          </w:p>
        </w:tc>
        <w:tc>
          <w:tcPr>
            <w:tcW w:w="1276" w:type="dxa"/>
            <w:vAlign w:val="center"/>
          </w:tcPr>
          <w:p w14:paraId="6EDA17E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弹性模量/GPa</w:t>
            </w:r>
          </w:p>
        </w:tc>
        <w:tc>
          <w:tcPr>
            <w:tcW w:w="1173" w:type="dxa"/>
            <w:vAlign w:val="center"/>
          </w:tcPr>
          <w:p w14:paraId="3FD52AA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延伸率A/%</w:t>
            </w:r>
          </w:p>
        </w:tc>
      </w:tr>
      <w:tr w14:paraId="32D0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restart"/>
            <w:vAlign w:val="center"/>
          </w:tcPr>
          <w:p w14:paraId="10FDB73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丝材</w:t>
            </w:r>
          </w:p>
        </w:tc>
        <w:tc>
          <w:tcPr>
            <w:tcW w:w="1842" w:type="dxa"/>
            <w:vAlign w:val="center"/>
          </w:tcPr>
          <w:p w14:paraId="706A55F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559" w:type="dxa"/>
            <w:vAlign w:val="center"/>
          </w:tcPr>
          <w:p w14:paraId="3A713CF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253CFEB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300384C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120A5E4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3B51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0410301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7C110EE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559" w:type="dxa"/>
            <w:vAlign w:val="center"/>
          </w:tcPr>
          <w:p w14:paraId="3574E6F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60CD7D1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4645337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67D396E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1FA2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4895BB3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333CEB4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559" w:type="dxa"/>
            <w:vAlign w:val="center"/>
          </w:tcPr>
          <w:p w14:paraId="431ACDA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hint="eastAsia" w:ascii="宋体" w:hAnsi="宋体" w:eastAsia="宋体" w:cs="Times New Roman"/>
                <w:color w:val="000000"/>
                <w:sz w:val="21"/>
                <w:szCs w:val="21"/>
                <w14:textFill>
                  <w14:solidFill>
                    <w14:srgbClr w14:val="000000">
                      <w14:lumMod w14:val="65000"/>
                      <w14:lumOff w14:val="35000"/>
                    </w14:srgbClr>
                  </w14:solidFill>
                </w14:textFill>
              </w:rPr>
              <w:t>18</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985" w:type="dxa"/>
            <w:vAlign w:val="center"/>
          </w:tcPr>
          <w:p w14:paraId="76501E6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7AAAA7E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7FF9724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48FE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restart"/>
            <w:vAlign w:val="center"/>
          </w:tcPr>
          <w:p w14:paraId="2DC2338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棒材</w:t>
            </w:r>
          </w:p>
        </w:tc>
        <w:tc>
          <w:tcPr>
            <w:tcW w:w="1842" w:type="dxa"/>
            <w:vAlign w:val="center"/>
          </w:tcPr>
          <w:p w14:paraId="0E3FAF2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559" w:type="dxa"/>
            <w:vAlign w:val="center"/>
          </w:tcPr>
          <w:p w14:paraId="3C2EBD8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682A193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32165B2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1EB2B60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2AB0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62EFC90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23FF4E2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559" w:type="dxa"/>
            <w:vAlign w:val="center"/>
          </w:tcPr>
          <w:p w14:paraId="14672F9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5599E83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0C6E1B1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7712E38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141A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50EBE0C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041A91C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559" w:type="dxa"/>
            <w:vAlign w:val="center"/>
          </w:tcPr>
          <w:p w14:paraId="0A57393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hint="eastAsia" w:ascii="宋体" w:hAnsi="宋体" w:eastAsia="宋体" w:cs="Times New Roman"/>
                <w:color w:val="000000"/>
                <w:sz w:val="21"/>
                <w:szCs w:val="21"/>
                <w14:textFill>
                  <w14:solidFill>
                    <w14:srgbClr w14:val="000000">
                      <w14:lumMod w14:val="65000"/>
                      <w14:lumOff w14:val="35000"/>
                    </w14:srgbClr>
                  </w14:solidFill>
                </w14:textFill>
              </w:rPr>
              <w:t>18</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985" w:type="dxa"/>
            <w:vAlign w:val="center"/>
          </w:tcPr>
          <w:p w14:paraId="4F3AB61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276" w:type="dxa"/>
            <w:vAlign w:val="center"/>
          </w:tcPr>
          <w:p w14:paraId="1A696D2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598D12E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0116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restart"/>
            <w:vAlign w:val="center"/>
          </w:tcPr>
          <w:p w14:paraId="529F1B5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板材</w:t>
            </w:r>
          </w:p>
        </w:tc>
        <w:tc>
          <w:tcPr>
            <w:tcW w:w="1842" w:type="dxa"/>
            <w:vAlign w:val="center"/>
          </w:tcPr>
          <w:p w14:paraId="3CE89AC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加工态/F</w:t>
            </w:r>
          </w:p>
        </w:tc>
        <w:tc>
          <w:tcPr>
            <w:tcW w:w="1559" w:type="dxa"/>
            <w:vAlign w:val="center"/>
          </w:tcPr>
          <w:p w14:paraId="428639F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326A1CE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32</w:t>
            </w:r>
          </w:p>
        </w:tc>
        <w:tc>
          <w:tcPr>
            <w:tcW w:w="1276" w:type="dxa"/>
            <w:vAlign w:val="center"/>
          </w:tcPr>
          <w:p w14:paraId="2BE4C7C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02D0032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294B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4F25E49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7BBEA20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热处理半硬态/H</w:t>
            </w:r>
          </w:p>
        </w:tc>
        <w:tc>
          <w:tcPr>
            <w:tcW w:w="1559" w:type="dxa"/>
            <w:vAlign w:val="center"/>
          </w:tcPr>
          <w:p w14:paraId="5B5BC4D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25</w:t>
            </w:r>
          </w:p>
        </w:tc>
        <w:tc>
          <w:tcPr>
            <w:tcW w:w="1985" w:type="dxa"/>
            <w:vAlign w:val="center"/>
          </w:tcPr>
          <w:p w14:paraId="6A9AFFC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32</w:t>
            </w:r>
          </w:p>
        </w:tc>
        <w:tc>
          <w:tcPr>
            <w:tcW w:w="1276" w:type="dxa"/>
            <w:vAlign w:val="center"/>
          </w:tcPr>
          <w:p w14:paraId="57549FA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647CF83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tr w14:paraId="2BAA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30" w:type="dxa"/>
            <w:vMerge w:val="continue"/>
            <w:vAlign w:val="center"/>
          </w:tcPr>
          <w:p w14:paraId="4D6955E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1842" w:type="dxa"/>
            <w:vAlign w:val="center"/>
          </w:tcPr>
          <w:p w14:paraId="5D10CD9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热处理软态/O</w:t>
            </w:r>
          </w:p>
        </w:tc>
        <w:tc>
          <w:tcPr>
            <w:tcW w:w="1559" w:type="dxa"/>
            <w:vAlign w:val="center"/>
          </w:tcPr>
          <w:p w14:paraId="68ACEC4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hint="eastAsia" w:ascii="宋体" w:hAnsi="宋体" w:eastAsia="宋体" w:cs="Times New Roman"/>
                <w:color w:val="000000"/>
                <w:sz w:val="21"/>
                <w:szCs w:val="21"/>
                <w14:textFill>
                  <w14:solidFill>
                    <w14:srgbClr w14:val="000000">
                      <w14:lumMod w14:val="65000"/>
                      <w14:lumOff w14:val="35000"/>
                    </w14:srgbClr>
                  </w14:solidFill>
                </w14:textFill>
              </w:rPr>
              <w:t>18</w:t>
            </w:r>
            <w:r>
              <w:rPr>
                <w:rFonts w:ascii="Times New Roman" w:hAnsi="Times New Roman" w:eastAsia="宋体" w:cs="Times New Roman"/>
                <w:color w:val="000000"/>
                <w:sz w:val="21"/>
                <w:szCs w:val="21"/>
                <w14:textFill>
                  <w14:solidFill>
                    <w14:srgbClr w14:val="000000">
                      <w14:lumMod w14:val="65000"/>
                      <w14:lumOff w14:val="35000"/>
                    </w14:srgbClr>
                  </w14:solidFill>
                </w14:textFill>
              </w:rPr>
              <w:t>0</w:t>
            </w:r>
          </w:p>
        </w:tc>
        <w:tc>
          <w:tcPr>
            <w:tcW w:w="1985" w:type="dxa"/>
            <w:vAlign w:val="center"/>
          </w:tcPr>
          <w:p w14:paraId="4CF2583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w:t>
            </w:r>
          </w:p>
        </w:tc>
        <w:tc>
          <w:tcPr>
            <w:tcW w:w="1276" w:type="dxa"/>
            <w:vAlign w:val="center"/>
          </w:tcPr>
          <w:p w14:paraId="082FBED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173" w:type="dxa"/>
            <w:vAlign w:val="center"/>
          </w:tcPr>
          <w:p w14:paraId="2AB98ED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宋体" w:hAnsi="宋体"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10</w:t>
            </w:r>
          </w:p>
        </w:tc>
      </w:tr>
      <w:bookmarkEnd w:id="6"/>
    </w:tbl>
    <w:p w14:paraId="3DE6745D">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4.8 降解性能</w:t>
      </w:r>
    </w:p>
    <w:p w14:paraId="4D0AF51E">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可降解镁锌锰合金材料的降解性能应符合表5规定。由GB/T 10123规定均匀降解（均匀腐蚀）是指金属表面几乎以相同速度进行的全面腐蚀。全面腐蚀是指暴露于腐蚀环境中的金属表面进行的腐蚀。腐蚀环境选择在</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0.9%生理盐水</w:t>
      </w:r>
      <w:r>
        <w:rPr>
          <w:rFonts w:ascii="Times New Roman" w:hAnsi="Times New Roman" w:eastAsia="宋体" w:cs="Times New Roman"/>
          <w:color w:val="000000"/>
          <w:sz w:val="21"/>
          <w:szCs w:val="21"/>
          <w14:textFill>
            <w14:solidFill>
              <w14:srgbClr w14:val="000000">
                <w14:lumMod w14:val="65000"/>
                <w14:lumOff w14:val="35000"/>
              </w14:srgbClr>
            </w14:solidFill>
          </w14:textFill>
        </w:rPr>
        <w:t>中恒温37±</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℃。如使用其他模拟体液和控制范围可以由供需双方商定，并在合同中注明。</w:t>
      </w:r>
    </w:p>
    <w:p w14:paraId="386A57DD">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表5 可降解镁锌锰合金降解性能</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2846"/>
        <w:gridCol w:w="2505"/>
        <w:gridCol w:w="2656"/>
      </w:tblGrid>
      <w:tr w14:paraId="1B31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Align w:val="center"/>
          </w:tcPr>
          <w:p w14:paraId="62B99C9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7" w:name="_Hlk201677375"/>
            <w:r>
              <w:rPr>
                <w:rFonts w:ascii="Times New Roman" w:hAnsi="Times New Roman" w:eastAsia="宋体" w:cs="Times New Roman"/>
                <w:color w:val="000000"/>
                <w:sz w:val="21"/>
                <w:szCs w:val="21"/>
                <w14:textFill>
                  <w14:solidFill>
                    <w14:srgbClr w14:val="000000">
                      <w14:lumMod w14:val="65000"/>
                      <w14:lumOff w14:val="35000"/>
                    </w14:srgbClr>
                  </w14:solidFill>
                </w14:textFill>
              </w:rPr>
              <w:t>形态</w:t>
            </w:r>
          </w:p>
        </w:tc>
        <w:tc>
          <w:tcPr>
            <w:tcW w:w="1548" w:type="pct"/>
            <w:vAlign w:val="center"/>
          </w:tcPr>
          <w:p w14:paraId="05B8340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降解过程中析氢量/ ml/h/cm</w:t>
            </w:r>
            <w:r>
              <w:rPr>
                <w:rFonts w:ascii="Times New Roman" w:hAnsi="Times New Roman" w:eastAsia="宋体" w:cs="Times New Roman"/>
                <w:color w:val="000000"/>
                <w:sz w:val="21"/>
                <w:szCs w:val="21"/>
                <w:vertAlign w:val="superscript"/>
                <w14:textFill>
                  <w14:solidFill>
                    <w14:srgbClr w14:val="000000">
                      <w14:lumMod w14:val="65000"/>
                      <w14:lumOff w14:val="35000"/>
                    </w14:srgbClr>
                  </w14:solidFill>
                </w14:textFill>
              </w:rPr>
              <w:t>2</w:t>
            </w:r>
          </w:p>
        </w:tc>
        <w:tc>
          <w:tcPr>
            <w:tcW w:w="1363" w:type="pct"/>
            <w:vAlign w:val="center"/>
          </w:tcPr>
          <w:p w14:paraId="06AFCF3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浸泡90天降解质量损失比</w:t>
            </w:r>
          </w:p>
        </w:tc>
        <w:tc>
          <w:tcPr>
            <w:tcW w:w="1445" w:type="pct"/>
            <w:vAlign w:val="center"/>
          </w:tcPr>
          <w:p w14:paraId="21AD94C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浸泡365天降解质量损失比</w:t>
            </w:r>
          </w:p>
        </w:tc>
      </w:tr>
      <w:tr w14:paraId="02A4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Align w:val="center"/>
          </w:tcPr>
          <w:p w14:paraId="4D4997D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棒材</w:t>
            </w:r>
          </w:p>
        </w:tc>
        <w:tc>
          <w:tcPr>
            <w:tcW w:w="1548" w:type="pct"/>
            <w:vAlign w:val="center"/>
          </w:tcPr>
          <w:p w14:paraId="1B52F9D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≤0.025</w:t>
            </w:r>
          </w:p>
        </w:tc>
        <w:tc>
          <w:tcPr>
            <w:tcW w:w="1363" w:type="pct"/>
            <w:vAlign w:val="center"/>
          </w:tcPr>
          <w:p w14:paraId="59473B5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w:t>
            </w:r>
          </w:p>
        </w:tc>
        <w:tc>
          <w:tcPr>
            <w:tcW w:w="1445" w:type="pct"/>
            <w:vAlign w:val="center"/>
          </w:tcPr>
          <w:p w14:paraId="1CBC661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≥80%</w:t>
            </w:r>
          </w:p>
        </w:tc>
      </w:tr>
      <w:tr w14:paraId="5252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 w:type="pct"/>
            <w:vAlign w:val="center"/>
          </w:tcPr>
          <w:p w14:paraId="07ADD1B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板材</w:t>
            </w:r>
          </w:p>
        </w:tc>
        <w:tc>
          <w:tcPr>
            <w:tcW w:w="1548" w:type="pct"/>
            <w:vAlign w:val="center"/>
          </w:tcPr>
          <w:p w14:paraId="3253FCF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≤0.025</w:t>
            </w:r>
          </w:p>
        </w:tc>
        <w:tc>
          <w:tcPr>
            <w:tcW w:w="1363" w:type="pct"/>
            <w:vAlign w:val="center"/>
          </w:tcPr>
          <w:p w14:paraId="5B1BFD7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w:t>
            </w:r>
          </w:p>
        </w:tc>
        <w:tc>
          <w:tcPr>
            <w:tcW w:w="1445" w:type="pct"/>
            <w:vAlign w:val="center"/>
          </w:tcPr>
          <w:p w14:paraId="5BD6965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≥65%</w:t>
            </w:r>
          </w:p>
        </w:tc>
      </w:tr>
      <w:bookmarkEnd w:id="7"/>
    </w:tbl>
    <w:p w14:paraId="51C11A22">
      <w:pPr>
        <w:snapToGrid w:val="0"/>
        <w:spacing w:before="100" w:beforeAutospacing="1" w:after="100" w:afterAutospacing="1" w:line="360" w:lineRule="auto"/>
        <w:ind w:firstLine="422"/>
        <w:rPr>
          <w:rFonts w:ascii="Times New Roman" w:hAnsi="Times New Roman" w:eastAsia="宋体" w:cs="Times New Roman"/>
          <w:b/>
          <w:color w:val="000000"/>
          <w:sz w:val="21"/>
          <w:szCs w:val="21"/>
          <w14:textFill>
            <w14:solidFill>
              <w14:srgbClr w14:val="000000">
                <w14:lumMod w14:val="65000"/>
                <w14:lumOff w14:val="35000"/>
              </w14:srgbClr>
            </w14:solidFill>
          </w14:textFill>
        </w:rPr>
      </w:pPr>
    </w:p>
    <w:p w14:paraId="78147D97">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4.9 生物相容性</w:t>
      </w:r>
    </w:p>
    <w:p w14:paraId="4522F1A2">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8" w:name="_Hlk201677403"/>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可降解镁锌锰合金材料生物相容性应符合</w:t>
      </w:r>
      <w:r>
        <w:rPr>
          <w:rFonts w:hint="eastAsia" w:ascii="Times New Roman" w:hAnsi="Times New Roman" w:eastAsia="宋体" w:cs="Times New Roman"/>
          <w:sz w:val="21"/>
          <w:szCs w:val="21"/>
        </w:rPr>
        <w:t>GB/T16886.1-2022</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对于生物学评价的相关</w:t>
      </w:r>
      <w:r>
        <w:rPr>
          <w:rFonts w:ascii="Times New Roman" w:hAnsi="Times New Roman" w:eastAsia="宋体" w:cs="Times New Roman"/>
          <w:color w:val="000000"/>
          <w:sz w:val="21"/>
          <w:szCs w:val="21"/>
          <w14:textFill>
            <w14:solidFill>
              <w14:srgbClr w14:val="000000">
                <w14:lumMod w14:val="65000"/>
                <w14:lumOff w14:val="35000"/>
              </w14:srgbClr>
            </w14:solidFill>
          </w14:textFill>
        </w:rPr>
        <w:t>规定</w:t>
      </w:r>
      <w:bookmarkEnd w:id="8"/>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689C9D5B">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4.10 </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硬度</w:t>
      </w:r>
    </w:p>
    <w:p w14:paraId="5B4D8D2A">
      <w:pPr>
        <w:snapToGrid w:val="0"/>
        <w:spacing w:after="0" w:line="360" w:lineRule="auto"/>
        <w:ind w:firstLine="42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维氏</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硬度</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40。</w:t>
      </w:r>
    </w:p>
    <w:p w14:paraId="492D6DAF">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5.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试验方法</w:t>
      </w:r>
    </w:p>
    <w:p w14:paraId="6ED59BDA">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5.1 试验条件</w:t>
      </w:r>
    </w:p>
    <w:p w14:paraId="13C8ECC4">
      <w:pPr>
        <w:snapToGrid w:val="0"/>
        <w:spacing w:after="0"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5.1.1 环境条件</w:t>
      </w:r>
    </w:p>
    <w:p w14:paraId="1E2FC457">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除另有规定外，试验应该在如下的环境条件下进行：</w:t>
      </w:r>
    </w:p>
    <w:p w14:paraId="298C0CB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a）温度： 25℃±2℃。</w:t>
      </w:r>
    </w:p>
    <w:p w14:paraId="7CD13493">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b）相对湿度：</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5% ~ 85%</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00DAF905">
      <w:pPr>
        <w:snapToGrid w:val="0"/>
        <w:spacing w:after="0"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5.1.2 检测仪器、仪表、器具精度</w:t>
      </w:r>
    </w:p>
    <w:p w14:paraId="6B8FF3F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检测仪器、仪表、器具的精度见下表。</w:t>
      </w:r>
    </w:p>
    <w:p w14:paraId="0C8FC2BF">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 检测仪器表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1985"/>
        <w:gridCol w:w="1701"/>
        <w:gridCol w:w="2874"/>
      </w:tblGrid>
      <w:tr w14:paraId="4772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022EE13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序号</w:t>
            </w:r>
          </w:p>
        </w:tc>
        <w:tc>
          <w:tcPr>
            <w:tcW w:w="1701" w:type="dxa"/>
            <w:vAlign w:val="bottom"/>
          </w:tcPr>
          <w:p w14:paraId="5B83E8C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名称</w:t>
            </w:r>
          </w:p>
        </w:tc>
        <w:tc>
          <w:tcPr>
            <w:tcW w:w="1985" w:type="dxa"/>
            <w:vAlign w:val="bottom"/>
          </w:tcPr>
          <w:p w14:paraId="6E8611A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仪表精度</w:t>
            </w:r>
          </w:p>
        </w:tc>
        <w:tc>
          <w:tcPr>
            <w:tcW w:w="1701" w:type="dxa"/>
            <w:vAlign w:val="bottom"/>
          </w:tcPr>
          <w:p w14:paraId="2860321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公差范围</w:t>
            </w:r>
          </w:p>
        </w:tc>
        <w:tc>
          <w:tcPr>
            <w:tcW w:w="2874" w:type="dxa"/>
          </w:tcPr>
          <w:p w14:paraId="0D6DC6D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备注</w:t>
            </w:r>
          </w:p>
        </w:tc>
      </w:tr>
      <w:tr w14:paraId="0A30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1C805BF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p>
        </w:tc>
        <w:tc>
          <w:tcPr>
            <w:tcW w:w="1701" w:type="dxa"/>
            <w:vAlign w:val="bottom"/>
          </w:tcPr>
          <w:p w14:paraId="0355801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温度计</w:t>
            </w:r>
          </w:p>
        </w:tc>
        <w:tc>
          <w:tcPr>
            <w:tcW w:w="1985" w:type="dxa"/>
            <w:vAlign w:val="bottom"/>
          </w:tcPr>
          <w:p w14:paraId="0220501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p>
        </w:tc>
        <w:tc>
          <w:tcPr>
            <w:tcW w:w="1701" w:type="dxa"/>
            <w:vAlign w:val="bottom"/>
          </w:tcPr>
          <w:p w14:paraId="2CAC883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分度值≤1℃</w:t>
            </w:r>
          </w:p>
        </w:tc>
        <w:tc>
          <w:tcPr>
            <w:tcW w:w="2874" w:type="dxa"/>
            <w:vAlign w:val="center"/>
          </w:tcPr>
          <w:p w14:paraId="71F2C9B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用于环境温度测量</w:t>
            </w:r>
          </w:p>
        </w:tc>
      </w:tr>
      <w:tr w14:paraId="0FEF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0BED435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2</w:t>
            </w:r>
          </w:p>
        </w:tc>
        <w:tc>
          <w:tcPr>
            <w:tcW w:w="1701" w:type="dxa"/>
            <w:vAlign w:val="bottom"/>
          </w:tcPr>
          <w:p w14:paraId="283C8EE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湿度计</w:t>
            </w:r>
          </w:p>
        </w:tc>
        <w:tc>
          <w:tcPr>
            <w:tcW w:w="1985" w:type="dxa"/>
            <w:vAlign w:val="bottom"/>
          </w:tcPr>
          <w:p w14:paraId="3644411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tc>
        <w:tc>
          <w:tcPr>
            <w:tcW w:w="1701" w:type="dxa"/>
            <w:vAlign w:val="bottom"/>
          </w:tcPr>
          <w:p w14:paraId="7382CAA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±2.0%RH</w:t>
            </w:r>
          </w:p>
        </w:tc>
        <w:tc>
          <w:tcPr>
            <w:tcW w:w="2874" w:type="dxa"/>
            <w:vAlign w:val="center"/>
          </w:tcPr>
          <w:p w14:paraId="7BA54FB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用于环境相对湿度测量</w:t>
            </w:r>
          </w:p>
        </w:tc>
      </w:tr>
      <w:tr w14:paraId="5D8D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66196BA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w:t>
            </w:r>
          </w:p>
        </w:tc>
        <w:tc>
          <w:tcPr>
            <w:tcW w:w="1701" w:type="dxa"/>
            <w:vAlign w:val="bottom"/>
          </w:tcPr>
          <w:p w14:paraId="7843859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螺旋测微仪</w:t>
            </w:r>
          </w:p>
        </w:tc>
        <w:tc>
          <w:tcPr>
            <w:tcW w:w="1985" w:type="dxa"/>
            <w:vAlign w:val="bottom"/>
          </w:tcPr>
          <w:p w14:paraId="5168B3D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0.01mm</w:t>
            </w:r>
          </w:p>
        </w:tc>
        <w:tc>
          <w:tcPr>
            <w:tcW w:w="1701" w:type="dxa"/>
            <w:vAlign w:val="bottom"/>
          </w:tcPr>
          <w:p w14:paraId="38C9268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2874" w:type="dxa"/>
            <w:vAlign w:val="center"/>
          </w:tcPr>
          <w:p w14:paraId="17D83C4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用于直径测量</w:t>
            </w:r>
          </w:p>
        </w:tc>
      </w:tr>
      <w:tr w14:paraId="5CB6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079801E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w:t>
            </w:r>
          </w:p>
        </w:tc>
        <w:tc>
          <w:tcPr>
            <w:tcW w:w="1701" w:type="dxa"/>
            <w:vAlign w:val="bottom"/>
          </w:tcPr>
          <w:p w14:paraId="6D8CFBE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游标卡尺</w:t>
            </w:r>
          </w:p>
        </w:tc>
        <w:tc>
          <w:tcPr>
            <w:tcW w:w="1985" w:type="dxa"/>
            <w:vAlign w:val="bottom"/>
          </w:tcPr>
          <w:p w14:paraId="54A91E6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0.02mm</w:t>
            </w:r>
          </w:p>
        </w:tc>
        <w:tc>
          <w:tcPr>
            <w:tcW w:w="1701" w:type="dxa"/>
            <w:vAlign w:val="bottom"/>
          </w:tcPr>
          <w:p w14:paraId="7700C39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2874" w:type="dxa"/>
            <w:vAlign w:val="center"/>
          </w:tcPr>
          <w:p w14:paraId="735D489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用于厚度测量</w:t>
            </w:r>
          </w:p>
        </w:tc>
      </w:tr>
      <w:tr w14:paraId="060B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5BC1C92E">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w:t>
            </w:r>
          </w:p>
        </w:tc>
        <w:tc>
          <w:tcPr>
            <w:tcW w:w="1701" w:type="dxa"/>
            <w:vAlign w:val="bottom"/>
          </w:tcPr>
          <w:p w14:paraId="344FE3D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钢卷尺</w:t>
            </w:r>
          </w:p>
        </w:tc>
        <w:tc>
          <w:tcPr>
            <w:tcW w:w="1985" w:type="dxa"/>
            <w:vAlign w:val="bottom"/>
          </w:tcPr>
          <w:p w14:paraId="77E4B22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I级</w:t>
            </w:r>
          </w:p>
        </w:tc>
        <w:tc>
          <w:tcPr>
            <w:tcW w:w="1701" w:type="dxa"/>
            <w:vAlign w:val="bottom"/>
          </w:tcPr>
          <w:p w14:paraId="1B93767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2874" w:type="dxa"/>
            <w:vAlign w:val="center"/>
          </w:tcPr>
          <w:p w14:paraId="03343CC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用于宽度、长度测量</w:t>
            </w:r>
          </w:p>
        </w:tc>
      </w:tr>
      <w:tr w14:paraId="1242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bottom"/>
          </w:tcPr>
          <w:p w14:paraId="79D02F3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w:t>
            </w:r>
          </w:p>
        </w:tc>
        <w:tc>
          <w:tcPr>
            <w:tcW w:w="1701" w:type="dxa"/>
            <w:vAlign w:val="bottom"/>
          </w:tcPr>
          <w:p w14:paraId="42B04A9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称重衡器</w:t>
            </w:r>
          </w:p>
        </w:tc>
        <w:tc>
          <w:tcPr>
            <w:tcW w:w="1985" w:type="dxa"/>
            <w:vAlign w:val="bottom"/>
          </w:tcPr>
          <w:p w14:paraId="0029F93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I级</w:t>
            </w:r>
          </w:p>
        </w:tc>
        <w:tc>
          <w:tcPr>
            <w:tcW w:w="1701" w:type="dxa"/>
            <w:vAlign w:val="bottom"/>
          </w:tcPr>
          <w:p w14:paraId="6549961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准确度±0.1%</w:t>
            </w:r>
          </w:p>
        </w:tc>
        <w:tc>
          <w:tcPr>
            <w:tcW w:w="2874" w:type="dxa"/>
            <w:vAlign w:val="center"/>
          </w:tcPr>
          <w:p w14:paraId="530F6FD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用于样品称重</w:t>
            </w:r>
          </w:p>
        </w:tc>
      </w:tr>
      <w:tr w14:paraId="469F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14:paraId="0D40472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7</w:t>
            </w:r>
          </w:p>
        </w:tc>
        <w:tc>
          <w:tcPr>
            <w:tcW w:w="1701" w:type="dxa"/>
            <w:vAlign w:val="center"/>
          </w:tcPr>
          <w:p w14:paraId="75F6D50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恒温水浴设备</w:t>
            </w:r>
          </w:p>
        </w:tc>
        <w:tc>
          <w:tcPr>
            <w:tcW w:w="1985" w:type="dxa"/>
            <w:vAlign w:val="center"/>
          </w:tcPr>
          <w:p w14:paraId="19580F7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p>
        </w:tc>
        <w:tc>
          <w:tcPr>
            <w:tcW w:w="1701" w:type="dxa"/>
            <w:vAlign w:val="center"/>
          </w:tcPr>
          <w:p w14:paraId="6255330C">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p>
        </w:tc>
        <w:tc>
          <w:tcPr>
            <w:tcW w:w="2874" w:type="dxa"/>
            <w:vAlign w:val="center"/>
          </w:tcPr>
          <w:p w14:paraId="79943AC2">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用于浸泡实验试剂的恒温</w:t>
            </w:r>
          </w:p>
        </w:tc>
      </w:tr>
    </w:tbl>
    <w:p w14:paraId="60608F33">
      <w:pPr>
        <w:snapToGrid w:val="0"/>
        <w:spacing w:after="0" w:line="360" w:lineRule="auto"/>
        <w:ind w:firstLine="422"/>
        <w:rPr>
          <w:rFonts w:ascii="Times New Roman" w:hAnsi="Times New Roman" w:eastAsia="宋体" w:cs="Times New Roman"/>
          <w:b/>
          <w:color w:val="000000"/>
          <w:sz w:val="21"/>
          <w:szCs w:val="21"/>
          <w14:textFill>
            <w14:solidFill>
              <w14:srgbClr w14:val="000000">
                <w14:lumMod w14:val="65000"/>
                <w14:lumOff w14:val="35000"/>
              </w14:srgbClr>
            </w14:solidFill>
          </w14:textFill>
        </w:rPr>
      </w:pPr>
    </w:p>
    <w:p w14:paraId="73628A2A">
      <w:pPr>
        <w:snapToGrid w:val="0"/>
        <w:spacing w:after="0"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5.1.3 试剂</w:t>
      </w:r>
    </w:p>
    <w:p w14:paraId="265B6A04">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检测中主要采用的试验试剂情况如下：</w:t>
      </w:r>
    </w:p>
    <w:p w14:paraId="1BFEDF91">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7</w:t>
      </w: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 试验试剂表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2592"/>
        <w:gridCol w:w="2471"/>
        <w:gridCol w:w="3237"/>
      </w:tblGrid>
      <w:tr w14:paraId="44AA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5" w:type="pct"/>
            <w:vAlign w:val="center"/>
          </w:tcPr>
          <w:p w14:paraId="1BD3756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序号</w:t>
            </w:r>
          </w:p>
        </w:tc>
        <w:tc>
          <w:tcPr>
            <w:tcW w:w="1410" w:type="pct"/>
            <w:vAlign w:val="center"/>
          </w:tcPr>
          <w:p w14:paraId="1A4C8F7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名称</w:t>
            </w:r>
          </w:p>
        </w:tc>
        <w:tc>
          <w:tcPr>
            <w:tcW w:w="1344" w:type="pct"/>
            <w:vAlign w:val="center"/>
          </w:tcPr>
          <w:p w14:paraId="0628C34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参考标准</w:t>
            </w:r>
          </w:p>
        </w:tc>
        <w:tc>
          <w:tcPr>
            <w:tcW w:w="1761" w:type="pct"/>
            <w:vAlign w:val="center"/>
          </w:tcPr>
          <w:p w14:paraId="64D7C4E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用途</w:t>
            </w:r>
          </w:p>
        </w:tc>
      </w:tr>
      <w:tr w14:paraId="346C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85" w:type="pct"/>
            <w:vAlign w:val="center"/>
          </w:tcPr>
          <w:p w14:paraId="557B3FC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p>
        </w:tc>
        <w:tc>
          <w:tcPr>
            <w:tcW w:w="1410" w:type="pct"/>
            <w:vAlign w:val="center"/>
          </w:tcPr>
          <w:p w14:paraId="744A8DD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0.9%生理盐水</w:t>
            </w:r>
          </w:p>
        </w:tc>
        <w:tc>
          <w:tcPr>
            <w:tcW w:w="1344" w:type="pct"/>
            <w:vAlign w:val="center"/>
          </w:tcPr>
          <w:p w14:paraId="6B30FF3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按照GB/T 16886.15-2022要求</w:t>
            </w:r>
          </w:p>
        </w:tc>
        <w:tc>
          <w:tcPr>
            <w:tcW w:w="1761" w:type="pct"/>
            <w:vAlign w:val="center"/>
          </w:tcPr>
          <w:p w14:paraId="51BC008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用于降解性能以及生物相容性检测中，作为介质</w:t>
            </w:r>
          </w:p>
        </w:tc>
      </w:tr>
    </w:tbl>
    <w:p w14:paraId="33A4D3F2">
      <w:pPr>
        <w:snapToGrid w:val="0"/>
        <w:spacing w:after="0" w:line="360" w:lineRule="auto"/>
        <w:ind w:firstLine="420" w:firstLineChars="200"/>
        <w:rPr>
          <w:rFonts w:ascii="Times New Roman" w:hAnsi="Times New Roman" w:eastAsia="宋体" w:cs="Times New Roman"/>
          <w:color w:val="EE0000"/>
          <w:sz w:val="21"/>
          <w:szCs w:val="21"/>
          <w14:textFill>
            <w14:solidFill>
              <w14:srgbClr w14:val="EE0000">
                <w14:lumMod w14:val="65000"/>
                <w14:lumOff w14:val="35000"/>
              </w14:srgbClr>
            </w14:solidFill>
          </w14:textFill>
        </w:rPr>
      </w:pPr>
    </w:p>
    <w:p w14:paraId="5563B82A">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2</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化学成分</w:t>
      </w:r>
    </w:p>
    <w:p w14:paraId="6D9D0782">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9" w:name="_Hlk201677426"/>
      <w:r>
        <w:rPr>
          <w:rFonts w:ascii="Times New Roman" w:hAnsi="Times New Roman" w:eastAsia="宋体" w:cs="Times New Roman"/>
          <w:color w:val="000000"/>
          <w:sz w:val="21"/>
          <w:szCs w:val="21"/>
          <w14:textFill>
            <w14:solidFill>
              <w14:srgbClr w14:val="000000">
                <w14:lumMod w14:val="65000"/>
                <w14:lumOff w14:val="35000"/>
              </w14:srgbClr>
            </w14:solidFill>
          </w14:textFill>
        </w:rPr>
        <w:t>化学成分分析方法应符合GB/T 13748的规定。</w:t>
      </w:r>
    </w:p>
    <w:p w14:paraId="3C3607C7">
      <w:pPr>
        <w:snapToGrid w:val="0"/>
        <w:spacing w:after="0" w:line="360" w:lineRule="auto"/>
        <w:ind w:firstLine="420" w:firstLineChars="200"/>
        <w:jc w:val="both"/>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其中，Zn含量按照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.15-2013中要求采用原子吸收光谱法进行测量；Mn含量按照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.4-2013中要求采用分光光度法进行测量；Si含量按照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.10-2013中要求采用钼蓝分光光度法进行测量；Al含量按照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.1-2013中要求采用原子吸收光谱法进行测量；Fe含量按照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.9-2013中要求采用分光光度法进行测量；Cu含量按照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.12-2013中低含量铜要求采用分光光度法进行测量；Ni含量按照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.14-2013中要求采用分光光度法进行测量；其他含量</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13748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.20-2024中要求采用ICP-AES法进行测量。</w:t>
      </w:r>
      <w:bookmarkEnd w:id="9"/>
    </w:p>
    <w:p w14:paraId="7FD53960">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3</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尺寸偏差</w:t>
      </w:r>
    </w:p>
    <w:p w14:paraId="32072125">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w:t>
      </w:r>
      <w:bookmarkStart w:id="10" w:name="_Hlk201677461"/>
      <w:r>
        <w:rPr>
          <w:rFonts w:ascii="Times New Roman" w:hAnsi="Times New Roman" w:eastAsia="宋体" w:cs="Times New Roman"/>
          <w:color w:val="000000"/>
          <w:sz w:val="21"/>
          <w:szCs w:val="21"/>
          <w14:textFill>
            <w14:solidFill>
              <w14:srgbClr w14:val="000000">
                <w14:lumMod w14:val="65000"/>
                <w14:lumOff w14:val="35000"/>
              </w14:srgbClr>
            </w14:solidFill>
          </w14:textFill>
        </w:rPr>
        <w:t>直径与厚度用</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相应精度的量具进行测量</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。其他尺寸及外形用钢板尺、卷尺或专用工具检测。其他尺寸偏差采用相应精度的量具进行测量。</w:t>
      </w:r>
      <w:bookmarkEnd w:id="10"/>
    </w:p>
    <w:p w14:paraId="568F594A">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5.4</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外观</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与</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质量</w:t>
      </w:r>
    </w:p>
    <w:p w14:paraId="54614559">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11" w:name="_Hlk201677492"/>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可降解镁锌锰合金材料表面</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质量</w:t>
      </w:r>
      <w:bookmarkStart w:id="12" w:name="_Hlk203550650"/>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20967-2007</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规定</w:t>
      </w:r>
      <w:bookmarkEnd w:id="12"/>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采用目视法进行检查，主要检查材料表面清洁程度，查看有无</w:t>
      </w:r>
      <w:r>
        <w:rPr>
          <w:rFonts w:ascii="Times New Roman" w:hAnsi="Times New Roman" w:eastAsia="宋体" w:cs="Times New Roman"/>
          <w:color w:val="000000"/>
          <w:sz w:val="21"/>
          <w:szCs w:val="21"/>
          <w14:textFill>
            <w14:solidFill>
              <w14:srgbClr w14:val="000000">
                <w14:lumMod w14:val="65000"/>
                <w14:lumOff w14:val="35000"/>
              </w14:srgbClr>
            </w14:solidFill>
          </w14:textFill>
        </w:rPr>
        <w:t>裂纹、</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起皮、气泡</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分层和各种</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夹杂</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压入</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bookmarkEnd w:id="11"/>
    </w:p>
    <w:p w14:paraId="32AE3C87">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超声波探伤检测采用GB/T 6519-2024的相关规定进行。</w:t>
      </w:r>
    </w:p>
    <w:p w14:paraId="6154CEAC">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显微组织</w:t>
      </w:r>
    </w:p>
    <w:p w14:paraId="0D898F34">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w:t>
      </w:r>
      <w:bookmarkStart w:id="13" w:name="_Hlk201677523"/>
      <w:r>
        <w:rPr>
          <w:rFonts w:ascii="Times New Roman" w:hAnsi="Times New Roman" w:eastAsia="宋体" w:cs="Times New Roman"/>
          <w:color w:val="000000"/>
          <w:sz w:val="21"/>
          <w:szCs w:val="21"/>
          <w14:textFill>
            <w14:solidFill>
              <w14:srgbClr w14:val="000000">
                <w14:lumMod w14:val="65000"/>
                <w14:lumOff w14:val="35000"/>
              </w14:srgbClr>
            </w14:solidFill>
          </w14:textFill>
        </w:rPr>
        <w:t>显微组织</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与晶粒度</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按GB/T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 </w:t>
      </w:r>
      <w:r>
        <w:rPr>
          <w:rFonts w:ascii="Times New Roman" w:hAnsi="Times New Roman" w:eastAsia="宋体" w:cs="Times New Roman"/>
          <w:color w:val="000000"/>
          <w:sz w:val="21"/>
          <w:szCs w:val="21"/>
          <w14:textFill>
            <w14:solidFill>
              <w14:srgbClr w14:val="000000">
                <w14:lumMod w14:val="65000"/>
                <w14:lumOff w14:val="35000"/>
              </w14:srgbClr>
            </w14:solidFill>
          </w14:textFill>
        </w:rPr>
        <w:t>4296</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-2022</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的规定进行。</w:t>
      </w:r>
      <w:bookmarkEnd w:id="13"/>
    </w:p>
    <w:p w14:paraId="714774E3">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5.</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6</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力学性能</w:t>
      </w:r>
    </w:p>
    <w:p w14:paraId="5D5C0EB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可降解镁锌锰合金材料温室力学性能试验按照GB/T 228.1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-2021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的规定进行。</w:t>
      </w:r>
    </w:p>
    <w:p w14:paraId="2FAE669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弹性模量试验按照</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3354-2018</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的规定进行。</w:t>
      </w:r>
    </w:p>
    <w:p w14:paraId="50A37BD6">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5.7</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降解性能</w:t>
      </w:r>
    </w:p>
    <w:p w14:paraId="2AD2A2AD">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5.7.1 按照GB/T 16886.15-2022规定选择的腐蚀介质为0.9%氯化钠的等渗水溶液，控制恒温</w:t>
      </w:r>
      <w:r>
        <w:rPr>
          <w:rFonts w:ascii="Times New Roman" w:hAnsi="Times New Roman" w:eastAsia="宋体" w:cs="Times New Roman"/>
          <w:color w:val="000000"/>
          <w:sz w:val="21"/>
          <w:szCs w:val="21"/>
          <w14:textFill>
            <w14:solidFill>
              <w14:srgbClr w14:val="000000">
                <w14:lumMod w14:val="65000"/>
                <w14:lumOff w14:val="35000"/>
              </w14:srgbClr>
            </w14:solidFill>
          </w14:textFill>
        </w:rPr>
        <w:t>37±</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6DB789D5">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5.7.2 </w:t>
      </w:r>
      <w:r>
        <w:rPr>
          <w:rFonts w:ascii="Times New Roman" w:hAnsi="Times New Roman" w:eastAsia="宋体" w:cs="Times New Roman"/>
          <w:color w:val="000000"/>
          <w:sz w:val="21"/>
          <w:szCs w:val="21"/>
          <w14:textFill>
            <w14:solidFill>
              <w14:srgbClr w14:val="000000">
                <w14:lumMod w14:val="65000"/>
                <w14:lumOff w14:val="35000"/>
              </w14:srgbClr>
            </w14:solidFill>
          </w14:textFill>
        </w:rPr>
        <w:t>镁合金降解过程中析氢量</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试验方法：浸泡实验按照GB/T 16886.15的规定进行。模拟降解腐蚀反应过程中，通过析氢测试装置对反应时间内样品的析氢情况进行测试，记录反应时间内的析氢总量。</w:t>
      </w:r>
    </w:p>
    <w:p w14:paraId="352F990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然后通过相应的析氢速率计算公式计算出</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骨植入</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材料</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的析氢速率。析氢速率的计算公式如下：</w:t>
      </w:r>
    </w:p>
    <w:p w14:paraId="7E0F7E7B">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m:oMathPara>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v</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H</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r>
            <m:rPr>
              <m:sty m:val="p"/>
            </m:rPr>
            <w:rPr>
              <w:rFonts w:ascii="Cambria Math" w:hAnsi="Cambria Math" w:eastAsia="宋体" w:cs="Times New Roman"/>
              <w:color w:val="000000"/>
              <w:sz w:val="21"/>
              <w:szCs w:val="21"/>
              <w14:textFill>
                <w14:solidFill>
                  <w14:srgbClr w14:val="000000">
                    <w14:lumMod w14:val="65000"/>
                    <w14:lumOff w14:val="35000"/>
                  </w14:srgbClr>
                </w14:solidFill>
              </w14:textFill>
            </w:rPr>
            <m:t>=</m:t>
          </m:r>
          <m:f>
            <m:f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fPr>
            <m:num>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V</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num>
            <m:den>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t×S</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den>
          </m:f>
        </m:oMath>
      </m:oMathPara>
    </w:p>
    <w:p w14:paraId="33743111">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其中，</w:t>
      </w:r>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v</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H</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——析氢速率</w:t>
      </w:r>
      <w:r>
        <w:rPr>
          <w:rFonts w:ascii="Times New Roman" w:hAnsi="Times New Roman" w:eastAsia="宋体" w:cs="Times New Roman"/>
          <w:iCs/>
          <w:color w:val="000000"/>
          <w:sz w:val="21"/>
          <w:szCs w:val="21"/>
          <w14:textFill>
            <w14:solidFill>
              <w14:srgbClr w14:val="000000">
                <w14:lumMod w14:val="65000"/>
                <w14:lumOff w14:val="35000"/>
              </w14:srgbClr>
            </w14:solidFill>
          </w14:textFill>
        </w:rPr>
        <w:t>（ml</w:t>
      </w: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iCs/>
          <w:color w:val="000000"/>
          <w:sz w:val="21"/>
          <w:szCs w:val="21"/>
          <w14:textFill>
            <w14:solidFill>
              <w14:srgbClr w14:val="000000">
                <w14:lumMod w14:val="65000"/>
                <w14:lumOff w14:val="35000"/>
              </w14:srgbClr>
            </w14:solidFill>
          </w14:textFill>
        </w:rPr>
        <w:t>h</w:t>
      </w: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w:t>
      </w:r>
      <w:r>
        <w:rPr>
          <w:rFonts w:ascii="Times New Roman" w:hAnsi="Times New Roman" w:eastAsia="宋体" w:cs="Times New Roman"/>
          <w:iCs/>
          <w:color w:val="000000"/>
          <w:sz w:val="21"/>
          <w:szCs w:val="21"/>
          <w14:textFill>
            <w14:solidFill>
              <w14:srgbClr w14:val="000000">
                <w14:lumMod w14:val="65000"/>
                <w14:lumOff w14:val="35000"/>
              </w14:srgbClr>
            </w14:solidFill>
          </w14:textFill>
        </w:rPr>
        <w:t>cm</w:t>
      </w:r>
      <w:r>
        <w:rPr>
          <w:rFonts w:hint="eastAsia" w:ascii="Times New Roman" w:hAnsi="Times New Roman" w:eastAsia="宋体" w:cs="Times New Roman"/>
          <w:iCs/>
          <w:color w:val="000000"/>
          <w:sz w:val="21"/>
          <w:szCs w:val="21"/>
          <w:vertAlign w:val="superscript"/>
          <w14:textFill>
            <w14:solidFill>
              <w14:srgbClr w14:val="000000">
                <w14:lumMod w14:val="65000"/>
                <w14:lumOff w14:val="35000"/>
              </w14:srgbClr>
            </w14:solidFill>
          </w14:textFill>
        </w:rPr>
        <w:t>2</w:t>
      </w:r>
      <w:r>
        <w:rPr>
          <w:rFonts w:ascii="Times New Roman" w:hAnsi="Times New Roman" w:eastAsia="宋体" w:cs="Times New Roman"/>
          <w:iCs/>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w:t>
      </w:r>
    </w:p>
    <w:p w14:paraId="0B8B20BC">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 xml:space="preserve">      </w:t>
      </w:r>
      <m:oMath>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V</m:t>
        </m:r>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——反应时间内的析氢总量（ml）；</w:t>
      </w:r>
    </w:p>
    <w:p w14:paraId="737391AD">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 xml:space="preserve">      </w:t>
      </w:r>
      <m:oMath>
        <m:r>
          <m:rPr>
            <m:sty m:val="p"/>
          </m:rPr>
          <w:rPr>
            <w:rFonts w:ascii="Cambria Math" w:hAnsi="Cambria Math" w:eastAsia="宋体" w:cs="Times New Roman"/>
            <w:color w:val="000000"/>
            <w:sz w:val="21"/>
            <w:szCs w:val="21"/>
            <w14:textFill>
              <w14:solidFill>
                <w14:srgbClr w14:val="000000">
                  <w14:lumMod w14:val="65000"/>
                  <w14:lumOff w14:val="35000"/>
                </w14:srgbClr>
              </w14:solidFill>
            </w14:textFill>
          </w:rPr>
          <m:t>t</m:t>
        </m:r>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——析氢反应时间（h）；</w:t>
      </w:r>
    </w:p>
    <w:p w14:paraId="33A8A1B2">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 xml:space="preserve">      </w:t>
      </w:r>
      <m:oMath>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S</m:t>
        </m:r>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——样品参与反应面积（cm</w:t>
      </w:r>
      <w:r>
        <w:rPr>
          <w:rFonts w:hint="eastAsia" w:ascii="Times New Roman" w:hAnsi="Times New Roman" w:eastAsia="宋体" w:cs="Times New Roman"/>
          <w:iCs/>
          <w:color w:val="000000"/>
          <w:sz w:val="21"/>
          <w:szCs w:val="21"/>
          <w:vertAlign w:val="superscript"/>
          <w14:textFill>
            <w14:solidFill>
              <w14:srgbClr w14:val="000000">
                <w14:lumMod w14:val="65000"/>
                <w14:lumOff w14:val="35000"/>
              </w14:srgbClr>
            </w14:solidFill>
          </w14:textFill>
        </w:rPr>
        <w:t>2</w:t>
      </w: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w:t>
      </w:r>
    </w:p>
    <w:p w14:paraId="674FE947">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 xml:space="preserve">5.7.3 </w:t>
      </w:r>
      <w:r>
        <w:rPr>
          <w:rFonts w:ascii="Times New Roman" w:hAnsi="Times New Roman" w:eastAsia="宋体" w:cs="Times New Roman"/>
          <w:color w:val="000000"/>
          <w:sz w:val="21"/>
          <w:szCs w:val="21"/>
          <w14:textFill>
            <w14:solidFill>
              <w14:srgbClr w14:val="000000">
                <w14:lumMod w14:val="65000"/>
                <w14:lumOff w14:val="35000"/>
              </w14:srgbClr>
            </w14:solidFill>
          </w14:textFill>
        </w:rPr>
        <w:t>镁合金降解过程中</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降解质量比的试验方法：浸泡实验按照GB/T 16886.15的规定进行。</w:t>
      </w:r>
      <w:r>
        <w:rPr>
          <w:rFonts w:ascii="Times New Roman" w:hAnsi="Times New Roman" w:eastAsia="宋体" w:cs="Times New Roman"/>
          <w:color w:val="000000"/>
          <w:sz w:val="21"/>
          <w:szCs w:val="21"/>
          <w14:textFill>
            <w14:solidFill>
              <w14:srgbClr w14:val="000000">
                <w14:lumMod w14:val="65000"/>
                <w14:lumOff w14:val="35000"/>
              </w14:srgbClr>
            </w14:solidFill>
          </w14:textFill>
        </w:rPr>
        <w:t>使用重量法对质量损失进行表征。</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质量损失的计算公式如下：</w:t>
      </w:r>
    </w:p>
    <w:p w14:paraId="7FB52ACC">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m:oMathPara>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loss</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r>
            <m:rPr>
              <m:sty m:val="p"/>
            </m:rPr>
            <w:rPr>
              <w:rFonts w:ascii="Cambria Math" w:hAnsi="Cambria Math" w:eastAsia="宋体" w:cs="Times New Roman"/>
              <w:color w:val="000000"/>
              <w:sz w:val="21"/>
              <w:szCs w:val="21"/>
              <w14:textFill>
                <w14:solidFill>
                  <w14:srgbClr w14:val="000000">
                    <w14:lumMod w14:val="65000"/>
                    <w14:lumOff w14:val="35000"/>
                  </w14:srgbClr>
                </w14:solidFill>
              </w14:textFill>
            </w:rPr>
            <m:t>=</m:t>
          </m:r>
          <m:f>
            <m:f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fPr>
            <m:num>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t>
              </m:r>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ascii="Cambria Math" w:hAnsi="Cambria Math" w:eastAsia="宋体" w:cs="Times New Roman"/>
                      <w:color w:val="000000"/>
                      <w:sz w:val="21"/>
                      <w:szCs w:val="21"/>
                      <w14:textFill>
                        <w14:solidFill>
                          <w14:srgbClr w14:val="000000">
                            <w14:lumMod w14:val="65000"/>
                            <w14:lumOff w14:val="35000"/>
                          </w14:srgbClr>
                        </w14:solidFill>
                      </w14:textFill>
                    </w:rPr>
                    <m:t>1</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r>
                <m:rPr/>
                <w:rPr>
                  <w:rFonts w:ascii="Cambria Math" w:hAnsi="Cambria Math" w:eastAsia="宋体" w:cs="Times New Roman"/>
                  <w:color w:val="000000"/>
                  <w:sz w:val="21"/>
                  <w:szCs w:val="21"/>
                  <w14:textFill>
                    <w14:solidFill>
                      <w14:srgbClr w14:val="000000">
                        <w14:lumMod w14:val="65000"/>
                        <w14:lumOff w14:val="35000"/>
                      </w14:srgbClr>
                    </w14:solidFill>
                  </w14:textFill>
                </w:rPr>
                <m:t>−</m:t>
              </m:r>
              <m:sSub>
                <m:sSubPr>
                  <m:ctrlPr>
                    <w:rPr>
                      <w:rFonts w:ascii="Cambria Math" w:hAnsi="Cambria Math" w:eastAsia="宋体" w:cs="Times New Roman"/>
                      <w:i/>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
                      <w:iCs/>
                      <w:color w:val="000000"/>
                      <w:sz w:val="21"/>
                      <w:szCs w:val="21"/>
                      <w14:textFill>
                        <w14:solidFill>
                          <w14:srgbClr w14:val="000000">
                            <w14:lumMod w14:val="65000"/>
                            <w14:lumOff w14:val="35000"/>
                          </w14:srgbClr>
                        </w14:solidFill>
                      </w14:textFill>
                    </w:rPr>
                  </m:ctrlPr>
                </m:e>
                <m:sub>
                  <m:r>
                    <m:rPr/>
                    <w:rPr>
                      <w:rFonts w:ascii="Cambria Math" w:hAnsi="Cambria Math" w:eastAsia="宋体" w:cs="Times New Roman"/>
                      <w:color w:val="000000"/>
                      <w:sz w:val="21"/>
                      <w:szCs w:val="21"/>
                      <w14:textFill>
                        <w14:solidFill>
                          <w14:srgbClr w14:val="000000">
                            <w14:lumMod w14:val="65000"/>
                            <w14:lumOff w14:val="35000"/>
                          </w14:srgbClr>
                        </w14:solidFill>
                      </w14:textFill>
                    </w:rPr>
                    <m:t>2</m:t>
                  </m:r>
                  <m:ctrlPr>
                    <w:rPr>
                      <w:rFonts w:ascii="Cambria Math" w:hAnsi="Cambria Math" w:eastAsia="宋体" w:cs="Times New Roman"/>
                      <w:i/>
                      <w:iCs/>
                      <w:color w:val="000000"/>
                      <w:sz w:val="21"/>
                      <w:szCs w:val="21"/>
                      <w14:textFill>
                        <w14:solidFill>
                          <w14:srgbClr w14:val="000000">
                            <w14:lumMod w14:val="65000"/>
                            <w14:lumOff w14:val="35000"/>
                          </w14:srgbClr>
                        </w14:solidFill>
                      </w14:textFill>
                    </w:rPr>
                  </m:ctrlPr>
                </m:sub>
              </m:sSub>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num>
            <m:den>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ascii="Cambria Math" w:hAnsi="Cambria Math" w:eastAsia="宋体" w:cs="Times New Roman"/>
                      <w:color w:val="000000"/>
                      <w:sz w:val="21"/>
                      <w:szCs w:val="21"/>
                      <w14:textFill>
                        <w14:solidFill>
                          <w14:srgbClr w14:val="000000">
                            <w14:lumMod w14:val="65000"/>
                            <w14:lumOff w14:val="35000"/>
                          </w14:srgbClr>
                        </w14:solidFill>
                      </w14:textFill>
                    </w:rPr>
                    <m:t>1</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den>
          </m:f>
          <m:r>
            <m:rPr/>
            <w:rPr>
              <w:rFonts w:ascii="Cambria Math" w:hAnsi="Cambria Math" w:eastAsia="宋体" w:cs="Times New Roman"/>
              <w:color w:val="000000"/>
              <w:sz w:val="21"/>
              <w:szCs w:val="21"/>
              <w14:textFill>
                <w14:solidFill>
                  <w14:srgbClr w14:val="000000">
                    <w14:lumMod w14:val="65000"/>
                    <w14:lumOff w14:val="35000"/>
                  </w14:srgbClr>
                </w14:solidFill>
              </w14:textFill>
            </w:rPr>
            <m:t>×100%</m:t>
          </m:r>
        </m:oMath>
      </m:oMathPara>
    </w:p>
    <w:p w14:paraId="6437C46D">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其中，</w:t>
      </w:r>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m:sty m:val="p"/>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loss</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——质量损失比；</w:t>
      </w:r>
    </w:p>
    <w:p w14:paraId="4A776E3A">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 xml:space="preserve">      </w:t>
      </w:r>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ascii="Cambria Math" w:hAnsi="Cambria Math" w:eastAsia="宋体" w:cs="Times New Roman"/>
                <w:color w:val="000000"/>
                <w:sz w:val="21"/>
                <w:szCs w:val="21"/>
                <w14:textFill>
                  <w14:solidFill>
                    <w14:srgbClr w14:val="000000">
                      <w14:lumMod w14:val="65000"/>
                      <w14:lumOff w14:val="35000"/>
                    </w14:srgbClr>
                  </w14:solidFill>
                </w14:textFill>
              </w:rPr>
              <m:t>1</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——原始质量；</w:t>
      </w:r>
    </w:p>
    <w:p w14:paraId="62CC7EBC">
      <w:pPr>
        <w:snapToGrid w:val="0"/>
        <w:spacing w:after="0" w:line="360" w:lineRule="auto"/>
        <w:ind w:firstLine="420" w:firstLineChars="200"/>
        <w:rPr>
          <w:rFonts w:ascii="Times New Roman" w:hAnsi="Times New Roman" w:eastAsia="宋体" w:cs="Times New Roman"/>
          <w:iCs/>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 xml:space="preserve">      </w:t>
      </w:r>
      <m:oMath>
        <m:sSub>
          <m:sSubP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SubPr>
          <m:e>
            <m:r>
              <m:rPr/>
              <w:rPr>
                <w:rFonts w:hint="eastAsia" w:ascii="Cambria Math" w:hAnsi="Cambria Math" w:eastAsia="宋体" w:cs="Times New Roman"/>
                <w:color w:val="000000"/>
                <w:sz w:val="21"/>
                <w:szCs w:val="21"/>
                <w14:textFill>
                  <w14:solidFill>
                    <w14:srgbClr w14:val="000000">
                      <w14:lumMod w14:val="65000"/>
                      <w14:lumOff w14:val="35000"/>
                    </w14:srgbClr>
                  </w14:solidFill>
                </w14:textFill>
              </w:rPr>
              <m:t>M</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e>
          <m:sub>
            <m:r>
              <m:rPr/>
              <w:rPr>
                <w:rFonts w:ascii="Cambria Math" w:hAnsi="Cambria Math" w:eastAsia="宋体" w:cs="Times New Roman"/>
                <w:color w:val="000000"/>
                <w:sz w:val="21"/>
                <w:szCs w:val="21"/>
                <w14:textFill>
                  <w14:solidFill>
                    <w14:srgbClr w14:val="000000">
                      <w14:lumMod w14:val="65000"/>
                      <w14:lumOff w14:val="35000"/>
                    </w14:srgbClr>
                  </w14:solidFill>
                </w14:textFill>
              </w:rPr>
              <m:t>2</m:t>
            </m:r>
            <m:ctrlPr>
              <w:rPr>
                <w:rFonts w:ascii="Cambria Math" w:hAnsi="Cambria Math" w:eastAsia="宋体" w:cs="Times New Roman"/>
                <w:iCs/>
                <w:color w:val="000000"/>
                <w:sz w:val="21"/>
                <w:szCs w:val="21"/>
                <w14:textFill>
                  <w14:solidFill>
                    <w14:srgbClr w14:val="000000">
                      <w14:lumMod w14:val="65000"/>
                      <w14:lumOff w14:val="35000"/>
                    </w14:srgbClr>
                  </w14:solidFill>
                </w14:textFill>
              </w:rPr>
            </m:ctrlPr>
          </m:sub>
        </m:sSub>
      </m:oMath>
      <w:r>
        <w:rPr>
          <w:rFonts w:hint="eastAsia" w:ascii="Times New Roman" w:hAnsi="Times New Roman" w:eastAsia="宋体" w:cs="Times New Roman"/>
          <w:iCs/>
          <w:color w:val="000000"/>
          <w:sz w:val="21"/>
          <w:szCs w:val="21"/>
          <w14:textFill>
            <w14:solidFill>
              <w14:srgbClr w14:val="000000">
                <w14:lumMod w14:val="65000"/>
                <w14:lumOff w14:val="35000"/>
              </w14:srgbClr>
            </w14:solidFill>
          </w14:textFill>
        </w:rPr>
        <w:t>——试验后重量。</w:t>
      </w:r>
    </w:p>
    <w:p w14:paraId="5A26E011">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在计算每个降解时间的质量损失时，应明确试验后的重量为去除</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腐蚀产物</w:t>
      </w:r>
      <w:r>
        <w:rPr>
          <w:rFonts w:ascii="Times New Roman" w:hAnsi="Times New Roman" w:eastAsia="宋体" w:cs="Times New Roman"/>
          <w:color w:val="000000"/>
          <w:sz w:val="21"/>
          <w:szCs w:val="21"/>
          <w14:textFill>
            <w14:solidFill>
              <w14:srgbClr w14:val="000000">
                <w14:lumMod w14:val="65000"/>
                <w14:lumOff w14:val="35000"/>
              </w14:srgbClr>
            </w14:solidFill>
          </w14:textFill>
        </w:rPr>
        <w:t>附着物后的重量</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，试验后镁合金的腐蚀产物的清除应按GB/T 16545-2015的相关规定进行。</w:t>
      </w:r>
    </w:p>
    <w:p w14:paraId="206EC9FD">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5.8</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生物相容性</w:t>
      </w:r>
    </w:p>
    <w:p w14:paraId="5547B245">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14" w:name="_Hlk201677597"/>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可降解镁锌锰合金材料的生物相容性测试方法按</w:t>
      </w:r>
      <w:bookmarkStart w:id="15" w:name="_Hlk203550709"/>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GB/T16886.1-2022</w:t>
      </w:r>
      <w:r>
        <w:rPr>
          <w:rFonts w:hint="eastAsia" w:ascii="Times New Roman" w:hAnsi="Times New Roman" w:eastAsia="宋体" w:cs="Times New Roman"/>
          <w:sz w:val="21"/>
          <w:szCs w:val="21"/>
        </w:rPr>
        <w:t>中规定的对应测试方法</w:t>
      </w:r>
      <w:bookmarkEnd w:id="15"/>
      <w:r>
        <w:rPr>
          <w:rFonts w:hint="eastAsia" w:ascii="Times New Roman" w:hAnsi="Times New Roman" w:eastAsia="宋体" w:cs="Times New Roman"/>
          <w:sz w:val="21"/>
          <w:szCs w:val="21"/>
        </w:rPr>
        <w:t>执</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行</w:t>
      </w:r>
      <w:bookmarkEnd w:id="14"/>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3A8EE638">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5.9</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 xml:space="preserve"> </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硬度</w:t>
      </w:r>
    </w:p>
    <w:p w14:paraId="1722D46D">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的硬度测试按照GB/T 4340.1-2024的规定进行</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2E3C2A86">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6.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检验规则</w:t>
      </w:r>
    </w:p>
    <w:p w14:paraId="553810C0">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6.1 检验</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分类</w:t>
      </w:r>
    </w:p>
    <w:p w14:paraId="62E766D2">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检验包括出厂检验与型式检验</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w:t>
      </w:r>
    </w:p>
    <w:p w14:paraId="626074A8">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6.2出厂检验</w:t>
      </w:r>
    </w:p>
    <w:p w14:paraId="2968403A">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6.2.1 每批产品需要检验，并出具合格检验报告。检验项目包括化学成分、尺寸偏差、外观质量、显微组织、力学性能、特殊性能要求等。</w:t>
      </w:r>
    </w:p>
    <w:p w14:paraId="1F74B9D4">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6.2.2 检验方案按照GB/T 2828.1-2012中第一部分试验A抽检计划进行。</w:t>
      </w:r>
    </w:p>
    <w:p w14:paraId="5C09BBCD">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6.3 型式检验</w:t>
      </w:r>
    </w:p>
    <w:p w14:paraId="7C7693B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6.</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3</w:t>
      </w:r>
      <w:r>
        <w:rPr>
          <w:rFonts w:ascii="Times New Roman" w:hAnsi="Times New Roman" w:eastAsia="宋体" w:cs="Times New Roman"/>
          <w:color w:val="000000"/>
          <w:sz w:val="21"/>
          <w:szCs w:val="21"/>
          <w14:textFill>
            <w14:solidFill>
              <w14:srgbClr w14:val="000000">
                <w14:lumMod w14:val="65000"/>
                <w14:lumOff w14:val="35000"/>
              </w14:srgbClr>
            </w14:solidFill>
          </w14:textFill>
        </w:rPr>
        <w:t>.1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检验项目包括本文件所有项目。</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有下列情况之一，应进行型式检验：</w:t>
      </w:r>
    </w:p>
    <w:p w14:paraId="6C0ECBE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a）有新产品投产或老产品转产；</w:t>
      </w:r>
    </w:p>
    <w:p w14:paraId="0EB1E5CB">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b）</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正式生产后，如结构、材料、工艺有较大变化。可能影响产品性能</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59C9541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c）停产后复产；</w:t>
      </w:r>
    </w:p>
    <w:p w14:paraId="1BACE5A8">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d）</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出厂检验结果与上次形式检验有较大差异</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52F320F1">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e）行业主管部门、国家或行业质量监督机构提出要求。</w:t>
      </w:r>
    </w:p>
    <w:p w14:paraId="54439F42">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6.3.2 型式检验应从出厂检验合格的样品中随机抽取进行检验。</w:t>
      </w:r>
    </w:p>
    <w:p w14:paraId="41417B6C">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6.4取样检验</w:t>
      </w:r>
    </w:p>
    <w:p w14:paraId="0828ACEA">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w:t>
      </w:r>
      <w:r>
        <w:rPr>
          <w:rFonts w:ascii="Times New Roman" w:hAnsi="Times New Roman" w:eastAsia="宋体" w:cs="Times New Roman"/>
          <w:color w:val="000000"/>
          <w:sz w:val="21"/>
          <w:szCs w:val="21"/>
          <w14:textFill>
            <w14:solidFill>
              <w14:srgbClr w14:val="000000">
                <w14:lumMod w14:val="65000"/>
                <w14:lumOff w14:val="35000"/>
              </w14:srgbClr>
            </w14:solidFill>
          </w14:textFill>
        </w:rPr>
        <w:t>具体检验项目见表6.1所示。</w:t>
      </w:r>
    </w:p>
    <w:p w14:paraId="1B7E35D9">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p>
    <w:p w14:paraId="53E47915">
      <w:pPr>
        <w:snapToGrid w:val="0"/>
        <w:spacing w:after="0" w:line="360" w:lineRule="auto"/>
        <w:ind w:firstLine="420" w:firstLineChars="200"/>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表</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6.1 可降解镁锌锰合金骨植入材料</w:t>
      </w:r>
      <w:r>
        <w:rPr>
          <w:rFonts w:ascii="Times New Roman" w:hAnsi="Times New Roman" w:eastAsia="宋体" w:cs="Times New Roman"/>
          <w:color w:val="000000"/>
          <w:sz w:val="21"/>
          <w:szCs w:val="21"/>
          <w14:textFill>
            <w14:solidFill>
              <w14:srgbClr w14:val="000000">
                <w14:lumMod w14:val="65000"/>
                <w14:lumOff w14:val="35000"/>
              </w14:srgbClr>
            </w14:solidFill>
          </w14:textFill>
        </w:rPr>
        <w:t>检验项目</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828"/>
        <w:gridCol w:w="1701"/>
        <w:gridCol w:w="1740"/>
      </w:tblGrid>
      <w:tr w14:paraId="5702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7F05FDC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bookmarkStart w:id="16" w:name="_Hlk201677663"/>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检验项目</w:t>
            </w:r>
          </w:p>
        </w:tc>
        <w:tc>
          <w:tcPr>
            <w:tcW w:w="3828" w:type="dxa"/>
            <w:vAlign w:val="center"/>
          </w:tcPr>
          <w:p w14:paraId="23E4E13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取样</w:t>
            </w:r>
          </w:p>
        </w:tc>
        <w:tc>
          <w:tcPr>
            <w:tcW w:w="1701" w:type="dxa"/>
            <w:vAlign w:val="center"/>
          </w:tcPr>
          <w:p w14:paraId="1EA161B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要求的章条号</w:t>
            </w:r>
          </w:p>
        </w:tc>
        <w:tc>
          <w:tcPr>
            <w:tcW w:w="1740" w:type="dxa"/>
            <w:vAlign w:val="center"/>
          </w:tcPr>
          <w:p w14:paraId="302D5AD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检验的章条号</w:t>
            </w:r>
          </w:p>
        </w:tc>
      </w:tr>
      <w:tr w14:paraId="44EC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0F1870E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化学成分</w:t>
            </w:r>
          </w:p>
        </w:tc>
        <w:tc>
          <w:tcPr>
            <w:tcW w:w="3828" w:type="dxa"/>
            <w:vAlign w:val="center"/>
          </w:tcPr>
          <w:p w14:paraId="37B029D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材料的任意位置</w:t>
            </w:r>
          </w:p>
        </w:tc>
        <w:tc>
          <w:tcPr>
            <w:tcW w:w="1701" w:type="dxa"/>
            <w:vAlign w:val="center"/>
          </w:tcPr>
          <w:p w14:paraId="7C428B8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4.1</w:t>
            </w:r>
          </w:p>
        </w:tc>
        <w:tc>
          <w:tcPr>
            <w:tcW w:w="1740" w:type="dxa"/>
            <w:vAlign w:val="center"/>
          </w:tcPr>
          <w:p w14:paraId="1FEF9323">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5.2</w:t>
            </w:r>
          </w:p>
        </w:tc>
      </w:tr>
      <w:tr w14:paraId="5860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39FE404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尺寸偏差</w:t>
            </w:r>
          </w:p>
        </w:tc>
        <w:tc>
          <w:tcPr>
            <w:tcW w:w="3828" w:type="dxa"/>
            <w:vAlign w:val="center"/>
          </w:tcPr>
          <w:p w14:paraId="69F4F6E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逐根检查</w:t>
            </w:r>
          </w:p>
        </w:tc>
        <w:tc>
          <w:tcPr>
            <w:tcW w:w="1701" w:type="dxa"/>
            <w:vAlign w:val="center"/>
          </w:tcPr>
          <w:p w14:paraId="75AFDEB7">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4.4</w:t>
            </w:r>
          </w:p>
        </w:tc>
        <w:tc>
          <w:tcPr>
            <w:tcW w:w="1740" w:type="dxa"/>
            <w:vAlign w:val="center"/>
          </w:tcPr>
          <w:p w14:paraId="77000F8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5.3</w:t>
            </w:r>
          </w:p>
        </w:tc>
      </w:tr>
      <w:tr w14:paraId="208D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16B4EBD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外观</w:t>
            </w:r>
          </w:p>
        </w:tc>
        <w:tc>
          <w:tcPr>
            <w:tcW w:w="3828" w:type="dxa"/>
            <w:vAlign w:val="center"/>
          </w:tcPr>
          <w:p w14:paraId="35C7724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逐根检查</w:t>
            </w:r>
          </w:p>
        </w:tc>
        <w:tc>
          <w:tcPr>
            <w:tcW w:w="1701" w:type="dxa"/>
            <w:vAlign w:val="center"/>
          </w:tcPr>
          <w:p w14:paraId="3F775D2A">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740" w:type="dxa"/>
            <w:vAlign w:val="center"/>
          </w:tcPr>
          <w:p w14:paraId="613DF284">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5.4</w:t>
            </w:r>
          </w:p>
        </w:tc>
      </w:tr>
      <w:tr w14:paraId="675F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741E5B0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超声波探伤</w:t>
            </w:r>
          </w:p>
        </w:tc>
        <w:tc>
          <w:tcPr>
            <w:tcW w:w="3828" w:type="dxa"/>
            <w:vAlign w:val="center"/>
          </w:tcPr>
          <w:p w14:paraId="4B97E60D">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每批次随机抽取规定数量</w:t>
            </w:r>
          </w:p>
        </w:tc>
        <w:tc>
          <w:tcPr>
            <w:tcW w:w="1701" w:type="dxa"/>
            <w:vAlign w:val="center"/>
          </w:tcPr>
          <w:p w14:paraId="1D6162F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4.5</w:t>
            </w:r>
          </w:p>
        </w:tc>
        <w:tc>
          <w:tcPr>
            <w:tcW w:w="1740" w:type="dxa"/>
            <w:vAlign w:val="center"/>
          </w:tcPr>
          <w:p w14:paraId="3C1E0980">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5.4</w:t>
            </w:r>
          </w:p>
        </w:tc>
      </w:tr>
      <w:tr w14:paraId="7CBA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4DE7971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力学性能</w:t>
            </w:r>
          </w:p>
        </w:tc>
        <w:tc>
          <w:tcPr>
            <w:tcW w:w="3828" w:type="dxa"/>
            <w:vAlign w:val="center"/>
          </w:tcPr>
          <w:p w14:paraId="489D679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取样符合</w:t>
            </w:r>
            <w:r>
              <w:rPr>
                <w:rFonts w:ascii="Times New Roman" w:hAnsi="Times New Roman" w:eastAsia="宋体" w:cs="Times New Roman"/>
                <w:color w:val="000000"/>
                <w:sz w:val="21"/>
                <w:szCs w:val="21"/>
                <w14:textFill>
                  <w14:solidFill>
                    <w14:srgbClr w14:val="000000">
                      <w14:lumMod w14:val="65000"/>
                      <w14:lumOff w14:val="35000"/>
                    </w14:srgbClr>
                  </w14:solidFill>
                </w14:textFill>
              </w:rPr>
              <w:t>GB/T 228.1</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的要求</w:t>
            </w:r>
          </w:p>
        </w:tc>
        <w:tc>
          <w:tcPr>
            <w:tcW w:w="1701" w:type="dxa"/>
            <w:vAlign w:val="center"/>
          </w:tcPr>
          <w:p w14:paraId="599BD1D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4.8</w:t>
            </w:r>
          </w:p>
        </w:tc>
        <w:tc>
          <w:tcPr>
            <w:tcW w:w="1740" w:type="dxa"/>
            <w:vAlign w:val="center"/>
          </w:tcPr>
          <w:p w14:paraId="49CDF19B">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5.6</w:t>
            </w:r>
          </w:p>
        </w:tc>
      </w:tr>
      <w:tr w14:paraId="7AAE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2162C259">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显微组织</w:t>
            </w:r>
          </w:p>
        </w:tc>
        <w:tc>
          <w:tcPr>
            <w:tcW w:w="3828" w:type="dxa"/>
            <w:vAlign w:val="center"/>
          </w:tcPr>
          <w:p w14:paraId="64C6824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材料的任意位置</w:t>
            </w:r>
          </w:p>
        </w:tc>
        <w:tc>
          <w:tcPr>
            <w:tcW w:w="1701" w:type="dxa"/>
            <w:vAlign w:val="center"/>
          </w:tcPr>
          <w:p w14:paraId="2E81F075">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4.6</w:t>
            </w:r>
          </w:p>
        </w:tc>
        <w:tc>
          <w:tcPr>
            <w:tcW w:w="1740" w:type="dxa"/>
            <w:vAlign w:val="center"/>
          </w:tcPr>
          <w:p w14:paraId="49F2979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5.5</w:t>
            </w:r>
          </w:p>
        </w:tc>
      </w:tr>
      <w:tr w14:paraId="4E21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96" w:type="dxa"/>
            <w:vAlign w:val="center"/>
          </w:tcPr>
          <w:p w14:paraId="0A3D6051">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硬度</w:t>
            </w:r>
          </w:p>
        </w:tc>
        <w:tc>
          <w:tcPr>
            <w:tcW w:w="3828" w:type="dxa"/>
            <w:vAlign w:val="center"/>
          </w:tcPr>
          <w:p w14:paraId="6FA4C596">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材料的任意位置</w:t>
            </w:r>
          </w:p>
        </w:tc>
        <w:tc>
          <w:tcPr>
            <w:tcW w:w="1701" w:type="dxa"/>
            <w:vAlign w:val="center"/>
          </w:tcPr>
          <w:p w14:paraId="1F3CF43F">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4.10</w:t>
            </w:r>
          </w:p>
        </w:tc>
        <w:tc>
          <w:tcPr>
            <w:tcW w:w="1740" w:type="dxa"/>
            <w:vAlign w:val="center"/>
          </w:tcPr>
          <w:p w14:paraId="0072C5F8">
            <w:pPr>
              <w:snapToGrid w:val="0"/>
              <w:spacing w:after="0" w:line="360" w:lineRule="auto"/>
              <w:jc w:val="center"/>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5.9</w:t>
            </w:r>
          </w:p>
        </w:tc>
      </w:tr>
      <w:bookmarkEnd w:id="16"/>
    </w:tbl>
    <w:p w14:paraId="1C10D265">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 xml:space="preserve">7. </w:t>
      </w:r>
      <w:r>
        <w:rPr>
          <w:rFonts w:ascii="Times New Roman" w:hAnsi="Times New Roman" w:eastAsia="宋体" w:cs="Times New Roman"/>
          <w:b/>
          <w:color w:val="000000"/>
          <w:sz w:val="21"/>
          <w:szCs w:val="21"/>
          <w14:textFill>
            <w14:solidFill>
              <w14:srgbClr w14:val="000000">
                <w14:lumMod w14:val="65000"/>
                <w14:lumOff w14:val="35000"/>
              </w14:srgbClr>
            </w14:solidFill>
          </w14:textFill>
        </w:rPr>
        <w:t>标志、包装、运输、贮存</w:t>
      </w:r>
    </w:p>
    <w:p w14:paraId="4C642E1A">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7.1 标志</w:t>
      </w:r>
    </w:p>
    <w:p w14:paraId="3A498B3D">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ascii="Times New Roman" w:hAnsi="Times New Roman" w:eastAsia="宋体" w:cs="Times New Roman"/>
          <w:color w:val="000000"/>
          <w:sz w:val="21"/>
          <w:szCs w:val="21"/>
          <w14:textFill>
            <w14:solidFill>
              <w14:srgbClr w14:val="000000">
                <w14:lumMod w14:val="65000"/>
                <w14:lumOff w14:val="35000"/>
              </w14:srgbClr>
            </w14:solidFill>
          </w14:textFill>
        </w:rPr>
        <w:t xml:space="preserve">7.1.1 </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可降解镁锌锰合金材料的标志参照GB/T32792的规定，</w:t>
      </w:r>
      <w:r>
        <w:rPr>
          <w:rFonts w:ascii="Times New Roman" w:hAnsi="Times New Roman" w:eastAsia="宋体" w:cs="Times New Roman"/>
          <w:color w:val="000000"/>
          <w:sz w:val="21"/>
          <w:szCs w:val="21"/>
          <w14:textFill>
            <w14:solidFill>
              <w14:srgbClr w14:val="000000">
                <w14:lumMod w14:val="65000"/>
                <w14:lumOff w14:val="35000"/>
              </w14:srgbClr>
            </w14:solidFill>
          </w14:textFill>
        </w:rPr>
        <w:t>产品上应有下列标志：</w:t>
      </w:r>
    </w:p>
    <w:p w14:paraId="326F7D4D">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a</w:t>
      </w:r>
      <w:r>
        <w:rPr>
          <w:rFonts w:ascii="Times New Roman" w:hAnsi="Times New Roman" w:eastAsia="宋体" w:cs="Times New Roman"/>
          <w:color w:val="000000"/>
          <w:sz w:val="21"/>
          <w:szCs w:val="21"/>
          <w14:textFill>
            <w14:solidFill>
              <w14:srgbClr w14:val="000000">
                <w14:lumMod w14:val="65000"/>
                <w14:lumOff w14:val="35000"/>
              </w14:srgbClr>
            </w14:solidFill>
          </w14:textFill>
        </w:rPr>
        <w:t>）产品</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名称</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7A26BA27">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b</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牌号</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3AC05970">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c</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规格</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0033ED7E">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d</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批号；</w:t>
      </w:r>
    </w:p>
    <w:p w14:paraId="632A990B">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ascii="Times New Roman" w:hAnsi="Times New Roman" w:eastAsia="宋体" w:cs="Times New Roman"/>
          <w:b/>
          <w:color w:val="000000"/>
          <w:sz w:val="21"/>
          <w:szCs w:val="21"/>
          <w14:textFill>
            <w14:solidFill>
              <w14:srgbClr w14:val="000000">
                <w14:lumMod w14:val="65000"/>
                <w14:lumOff w14:val="35000"/>
              </w14:srgbClr>
            </w14:solidFill>
          </w14:textFill>
        </w:rPr>
        <w:t>7.2 包装</w:t>
      </w: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、运输和贮存</w:t>
      </w:r>
    </w:p>
    <w:p w14:paraId="743E2385">
      <w:pPr>
        <w:snapToGrid w:val="0"/>
        <w:spacing w:after="0" w:line="360" w:lineRule="auto"/>
        <w:ind w:firstLine="420" w:firstLineChars="200"/>
        <w:rPr>
          <w:rFonts w:ascii="Times New Roman" w:hAnsi="Times New Roman" w:eastAsia="宋体" w:cs="Times New Roman"/>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color w:val="000000"/>
          <w:sz w:val="21"/>
          <w:szCs w:val="21"/>
          <w14:textFill>
            <w14:solidFill>
              <w14:srgbClr w14:val="000000">
                <w14:lumMod w14:val="65000"/>
                <w14:lumOff w14:val="35000"/>
              </w14:srgbClr>
            </w14:solidFill>
          </w14:textFill>
        </w:rPr>
        <w:t>可降解镁锌锰合金骨植入材料的包装、运输和贮存应参考GB/T 32792-2016的规定进行</w:t>
      </w:r>
      <w:r>
        <w:rPr>
          <w:rFonts w:ascii="Times New Roman" w:hAnsi="Times New Roman" w:eastAsia="宋体" w:cs="Times New Roman"/>
          <w:color w:val="000000"/>
          <w:sz w:val="21"/>
          <w:szCs w:val="21"/>
          <w14:textFill>
            <w14:solidFill>
              <w14:srgbClr w14:val="000000">
                <w14:lumMod w14:val="65000"/>
                <w14:lumOff w14:val="35000"/>
              </w14:srgbClr>
            </w14:solidFill>
          </w14:textFill>
        </w:rPr>
        <w:t>。</w:t>
      </w:r>
    </w:p>
    <w:p w14:paraId="0EE59C75">
      <w:pPr>
        <w:snapToGrid w:val="0"/>
        <w:spacing w:before="100" w:beforeAutospacing="1" w:after="100" w:afterAutospacing="1" w:line="360" w:lineRule="auto"/>
        <w:ind w:firstLine="0"/>
        <w:rPr>
          <w:rFonts w:ascii="Times New Roman" w:hAnsi="Times New Roman" w:eastAsia="宋体" w:cs="Times New Roman"/>
          <w:b/>
          <w:color w:val="000000"/>
          <w:sz w:val="21"/>
          <w:szCs w:val="21"/>
          <w14:textFill>
            <w14:solidFill>
              <w14:srgbClr w14:val="000000">
                <w14:lumMod w14:val="65000"/>
                <w14:lumOff w14:val="35000"/>
              </w14:srgbClr>
            </w14:solidFill>
          </w14:textFill>
        </w:rPr>
      </w:pPr>
      <w:r>
        <w:rPr>
          <w:rFonts w:hint="eastAsia" w:ascii="Times New Roman" w:hAnsi="Times New Roman" w:eastAsia="宋体" w:cs="Times New Roman"/>
          <w:b/>
          <w:color w:val="000000"/>
          <w:sz w:val="21"/>
          <w:szCs w:val="21"/>
          <w14:textFill>
            <w14:solidFill>
              <w14:srgbClr w14:val="000000">
                <w14:lumMod w14:val="65000"/>
                <w14:lumOff w14:val="35000"/>
              </w14:srgbClr>
            </w14:solidFill>
          </w14:textFill>
        </w:rPr>
        <w:t>7.3 质量证明书</w:t>
      </w:r>
    </w:p>
    <w:p w14:paraId="19AFE0CA">
      <w:pPr>
        <w:snapToGrid w:val="0"/>
        <w:spacing w:after="0" w:line="360" w:lineRule="auto"/>
        <w:ind w:firstLine="420" w:firstLineChars="20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每批材料应附有符合本文件要求的质量证明书，应包括以下内容：</w:t>
      </w:r>
    </w:p>
    <w:p w14:paraId="0B4F6646">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供方名称；</w:t>
      </w:r>
    </w:p>
    <w:p w14:paraId="00134A73">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产品名称；</w:t>
      </w:r>
    </w:p>
    <w:p w14:paraId="7F1BC809">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牌号；</w:t>
      </w:r>
    </w:p>
    <w:p w14:paraId="67D5EC31">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规格</w:t>
      </w:r>
    </w:p>
    <w:p w14:paraId="14D30312">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供应状态；</w:t>
      </w:r>
    </w:p>
    <w:p w14:paraId="7E299942">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批号或熔炼炉号；</w:t>
      </w:r>
    </w:p>
    <w:p w14:paraId="1CE9835F">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产品净重、件数；</w:t>
      </w:r>
    </w:p>
    <w:p w14:paraId="456199DF">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检验结果及质量检验部门印记；</w:t>
      </w:r>
    </w:p>
    <w:p w14:paraId="4C58C8FE">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标准编号；</w:t>
      </w:r>
    </w:p>
    <w:p w14:paraId="05238EF8">
      <w:pPr>
        <w:pStyle w:val="37"/>
        <w:numPr>
          <w:ilvl w:val="0"/>
          <w:numId w:val="2"/>
        </w:numPr>
        <w:snapToGrid w:val="0"/>
        <w:spacing w:after="0" w:line="360" w:lineRule="auto"/>
        <w:ind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r>
        <w:rPr>
          <w:rFonts w:hint="eastAsia" w:ascii="宋体" w:hAnsi="宋体" w:eastAsia="宋体" w:cs="Times New Roman"/>
          <w:color w:val="000000"/>
          <w:sz w:val="21"/>
          <w:szCs w:val="21"/>
          <w14:textFill>
            <w14:solidFill>
              <w14:srgbClr w14:val="000000">
                <w14:lumMod w14:val="65000"/>
                <w14:lumOff w14:val="35000"/>
              </w14:srgbClr>
            </w14:solidFill>
          </w14:textFill>
        </w:rPr>
        <w:t>出厂日期或包装日期。</w:t>
      </w:r>
    </w:p>
    <w:p w14:paraId="403079A4">
      <w:pPr>
        <w:pStyle w:val="37"/>
        <w:snapToGrid w:val="0"/>
        <w:spacing w:after="0" w:line="360" w:lineRule="auto"/>
        <w:ind w:firstLine="0"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p>
    <w:p w14:paraId="1EB74F3D">
      <w:pPr>
        <w:pStyle w:val="37"/>
        <w:snapToGrid w:val="0"/>
        <w:spacing w:after="0" w:line="360" w:lineRule="auto"/>
        <w:ind w:firstLine="0" w:firstLineChars="0"/>
        <w:jc w:val="both"/>
        <w:rPr>
          <w:rFonts w:hint="eastAsia" w:ascii="宋体" w:hAnsi="宋体" w:eastAsia="宋体" w:cs="Times New Roman"/>
          <w:color w:val="000000"/>
          <w:sz w:val="21"/>
          <w:szCs w:val="21"/>
          <w14:textFill>
            <w14:solidFill>
              <w14:srgbClr w14:val="000000">
                <w14:lumMod w14:val="65000"/>
                <w14:lumOff w14:val="35000"/>
              </w14:srgbClr>
            </w14:solidFill>
          </w14:textFill>
        </w:rPr>
      </w:pPr>
    </w:p>
    <w:p w14:paraId="796795A6">
      <w:pPr>
        <w:snapToGrid w:val="0"/>
        <w:spacing w:after="0" w:line="360" w:lineRule="auto"/>
        <w:ind w:firstLine="2400" w:firstLineChars="1000"/>
        <w:rPr>
          <w:rFonts w:ascii="Times New Roman" w:hAnsi="Times New Roman" w:eastAsia="新宋体" w:cs="Times New Roman"/>
          <w:color w:val="000000"/>
          <w:sz w:val="24"/>
          <w:szCs w:val="24"/>
          <w:u w:val="thick"/>
          <w14:textFill>
            <w14:solidFill>
              <w14:srgbClr w14:val="000000">
                <w14:lumMod w14:val="65000"/>
                <w14:lumOff w14:val="35000"/>
              </w14:srgbClr>
            </w14:solidFill>
          </w14:textFill>
        </w:rPr>
      </w:pPr>
      <w:r>
        <w:rPr>
          <w:rFonts w:ascii="Times New Roman" w:hAnsi="Times New Roman" w:eastAsia="新宋体" w:cs="Times New Roman"/>
          <w:color w:val="000000"/>
          <w:sz w:val="24"/>
          <w:szCs w:val="24"/>
          <w:u w:val="thick"/>
          <w14:textFill>
            <w14:solidFill>
              <w14:srgbClr w14:val="000000">
                <w14:lumMod w14:val="65000"/>
                <w14:lumOff w14:val="35000"/>
              </w14:srgbClr>
            </w14:solidFill>
          </w14:textFill>
        </w:rPr>
        <w:t xml:space="preserve">                           </w:t>
      </w:r>
    </w:p>
    <w:sectPr>
      <w:pgSz w:w="11906" w:h="16838"/>
      <w:pgMar w:top="1440" w:right="1134"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小米兰亭">
    <w:altName w:val="微软雅黑"/>
    <w:panose1 w:val="00000000000000000000"/>
    <w:charset w:val="86"/>
    <w:family w:val="auto"/>
    <w:pitch w:val="default"/>
    <w:sig w:usb0="00000000" w:usb1="00000000" w:usb2="00000036" w:usb3="00000000" w:csb0="0004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7"/>
      <w:lvlText w:val=""/>
      <w:lvlJc w:val="left"/>
      <w:pPr>
        <w:tabs>
          <w:tab w:val="left" w:pos="432"/>
        </w:tabs>
        <w:ind w:left="432" w:hanging="288"/>
      </w:pPr>
      <w:rPr>
        <w:rFonts w:hint="default" w:ascii="Symbol" w:hAnsi="Symbol"/>
      </w:rPr>
    </w:lvl>
  </w:abstractNum>
  <w:abstractNum w:abstractNumId="1">
    <w:nsid w:val="12E91AD6"/>
    <w:multiLevelType w:val="multilevel"/>
    <w:tmpl w:val="12E91AD6"/>
    <w:lvl w:ilvl="0" w:tentative="0">
      <w:start w:val="1"/>
      <w:numFmt w:val="lowerLetter"/>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xMGM2ZTA5YWYzZmVmNTZjNmI5YmVhMTNmODQ2Y2MifQ=="/>
  </w:docVars>
  <w:rsids>
    <w:rsidRoot w:val="007C4A6E"/>
    <w:rsid w:val="00015DAC"/>
    <w:rsid w:val="00034D7C"/>
    <w:rsid w:val="000403BF"/>
    <w:rsid w:val="00054239"/>
    <w:rsid w:val="000575C9"/>
    <w:rsid w:val="00067C9E"/>
    <w:rsid w:val="00082CE6"/>
    <w:rsid w:val="00087BEB"/>
    <w:rsid w:val="000939A4"/>
    <w:rsid w:val="000A06B3"/>
    <w:rsid w:val="000A20AD"/>
    <w:rsid w:val="000A2187"/>
    <w:rsid w:val="000B1AD8"/>
    <w:rsid w:val="000B5FC4"/>
    <w:rsid w:val="000B64E7"/>
    <w:rsid w:val="000C283C"/>
    <w:rsid w:val="000D0740"/>
    <w:rsid w:val="000D7B13"/>
    <w:rsid w:val="000F2D0B"/>
    <w:rsid w:val="000F7DB0"/>
    <w:rsid w:val="0011160F"/>
    <w:rsid w:val="00116ED6"/>
    <w:rsid w:val="00123B38"/>
    <w:rsid w:val="00125F75"/>
    <w:rsid w:val="00130CE4"/>
    <w:rsid w:val="00130D23"/>
    <w:rsid w:val="001334A4"/>
    <w:rsid w:val="0014215F"/>
    <w:rsid w:val="001432EC"/>
    <w:rsid w:val="00146559"/>
    <w:rsid w:val="00164020"/>
    <w:rsid w:val="00170169"/>
    <w:rsid w:val="001704FC"/>
    <w:rsid w:val="00181600"/>
    <w:rsid w:val="001946E8"/>
    <w:rsid w:val="00195018"/>
    <w:rsid w:val="00195E73"/>
    <w:rsid w:val="001A5DE9"/>
    <w:rsid w:val="001A7EEC"/>
    <w:rsid w:val="001C3D43"/>
    <w:rsid w:val="001C655A"/>
    <w:rsid w:val="001C7114"/>
    <w:rsid w:val="001E0398"/>
    <w:rsid w:val="001E0684"/>
    <w:rsid w:val="001F01E0"/>
    <w:rsid w:val="001F47AF"/>
    <w:rsid w:val="002133DF"/>
    <w:rsid w:val="002249C1"/>
    <w:rsid w:val="00230743"/>
    <w:rsid w:val="00235729"/>
    <w:rsid w:val="00242C96"/>
    <w:rsid w:val="002446B0"/>
    <w:rsid w:val="00246A21"/>
    <w:rsid w:val="00250D99"/>
    <w:rsid w:val="00260B90"/>
    <w:rsid w:val="00276C6D"/>
    <w:rsid w:val="0029758F"/>
    <w:rsid w:val="002A23D4"/>
    <w:rsid w:val="002B0B36"/>
    <w:rsid w:val="002B32AA"/>
    <w:rsid w:val="002C2409"/>
    <w:rsid w:val="002D24BD"/>
    <w:rsid w:val="002D30BF"/>
    <w:rsid w:val="002D4171"/>
    <w:rsid w:val="002D58F0"/>
    <w:rsid w:val="002E4434"/>
    <w:rsid w:val="002F0731"/>
    <w:rsid w:val="003004B1"/>
    <w:rsid w:val="00302607"/>
    <w:rsid w:val="00311B55"/>
    <w:rsid w:val="00323666"/>
    <w:rsid w:val="00324C25"/>
    <w:rsid w:val="00330DF1"/>
    <w:rsid w:val="00334DB2"/>
    <w:rsid w:val="00335616"/>
    <w:rsid w:val="00341C03"/>
    <w:rsid w:val="00346C16"/>
    <w:rsid w:val="003507F1"/>
    <w:rsid w:val="00360D7E"/>
    <w:rsid w:val="0036387D"/>
    <w:rsid w:val="00386BD5"/>
    <w:rsid w:val="00396522"/>
    <w:rsid w:val="003A0978"/>
    <w:rsid w:val="003A358A"/>
    <w:rsid w:val="003A593F"/>
    <w:rsid w:val="003A6FCD"/>
    <w:rsid w:val="003B6C12"/>
    <w:rsid w:val="003C35CA"/>
    <w:rsid w:val="003E1C9A"/>
    <w:rsid w:val="003E2D6D"/>
    <w:rsid w:val="003E746B"/>
    <w:rsid w:val="003F0BCF"/>
    <w:rsid w:val="003F3D41"/>
    <w:rsid w:val="003F6F0A"/>
    <w:rsid w:val="003F7778"/>
    <w:rsid w:val="004007EF"/>
    <w:rsid w:val="004078DB"/>
    <w:rsid w:val="00421675"/>
    <w:rsid w:val="004225DD"/>
    <w:rsid w:val="00425F81"/>
    <w:rsid w:val="004411E4"/>
    <w:rsid w:val="00444337"/>
    <w:rsid w:val="00460FF0"/>
    <w:rsid w:val="0049063D"/>
    <w:rsid w:val="004933B1"/>
    <w:rsid w:val="00495A3B"/>
    <w:rsid w:val="004B479F"/>
    <w:rsid w:val="004B4E97"/>
    <w:rsid w:val="004C774A"/>
    <w:rsid w:val="004D59CC"/>
    <w:rsid w:val="004D6CDA"/>
    <w:rsid w:val="005003A7"/>
    <w:rsid w:val="005031E1"/>
    <w:rsid w:val="0050379C"/>
    <w:rsid w:val="0050456B"/>
    <w:rsid w:val="00513C82"/>
    <w:rsid w:val="00520C81"/>
    <w:rsid w:val="0053037D"/>
    <w:rsid w:val="00532781"/>
    <w:rsid w:val="005535C5"/>
    <w:rsid w:val="00580C6B"/>
    <w:rsid w:val="00586F22"/>
    <w:rsid w:val="00594DA0"/>
    <w:rsid w:val="005A2CDD"/>
    <w:rsid w:val="005A45CF"/>
    <w:rsid w:val="005B353F"/>
    <w:rsid w:val="005B6764"/>
    <w:rsid w:val="005B73D3"/>
    <w:rsid w:val="005C76F0"/>
    <w:rsid w:val="005C79D7"/>
    <w:rsid w:val="005D216E"/>
    <w:rsid w:val="005D6888"/>
    <w:rsid w:val="005F3C6C"/>
    <w:rsid w:val="006043BF"/>
    <w:rsid w:val="006045C3"/>
    <w:rsid w:val="00605E46"/>
    <w:rsid w:val="00606163"/>
    <w:rsid w:val="0061114F"/>
    <w:rsid w:val="006376BB"/>
    <w:rsid w:val="0065299A"/>
    <w:rsid w:val="006643FF"/>
    <w:rsid w:val="0066509A"/>
    <w:rsid w:val="0067249A"/>
    <w:rsid w:val="00676582"/>
    <w:rsid w:val="00681090"/>
    <w:rsid w:val="00692C1C"/>
    <w:rsid w:val="00697AB8"/>
    <w:rsid w:val="006B3300"/>
    <w:rsid w:val="006B50D8"/>
    <w:rsid w:val="006B6236"/>
    <w:rsid w:val="006B6F22"/>
    <w:rsid w:val="006D03B9"/>
    <w:rsid w:val="00737BC9"/>
    <w:rsid w:val="00743F4F"/>
    <w:rsid w:val="00744281"/>
    <w:rsid w:val="00754C76"/>
    <w:rsid w:val="007556D7"/>
    <w:rsid w:val="007563AC"/>
    <w:rsid w:val="00763A45"/>
    <w:rsid w:val="00763B64"/>
    <w:rsid w:val="0077146C"/>
    <w:rsid w:val="00773D6F"/>
    <w:rsid w:val="007B025F"/>
    <w:rsid w:val="007B6D13"/>
    <w:rsid w:val="007C4A6E"/>
    <w:rsid w:val="007D05B1"/>
    <w:rsid w:val="007D3409"/>
    <w:rsid w:val="007F281B"/>
    <w:rsid w:val="007F6E04"/>
    <w:rsid w:val="00822FB4"/>
    <w:rsid w:val="008244F9"/>
    <w:rsid w:val="0083611A"/>
    <w:rsid w:val="008472C0"/>
    <w:rsid w:val="008603D9"/>
    <w:rsid w:val="00863728"/>
    <w:rsid w:val="008714E5"/>
    <w:rsid w:val="008838DA"/>
    <w:rsid w:val="00884E4F"/>
    <w:rsid w:val="008909FB"/>
    <w:rsid w:val="00891F23"/>
    <w:rsid w:val="00892F34"/>
    <w:rsid w:val="00897D66"/>
    <w:rsid w:val="008A028A"/>
    <w:rsid w:val="008A4B60"/>
    <w:rsid w:val="008C7C2E"/>
    <w:rsid w:val="008D29E6"/>
    <w:rsid w:val="008D75DB"/>
    <w:rsid w:val="008E0C00"/>
    <w:rsid w:val="008E5292"/>
    <w:rsid w:val="008E5E8B"/>
    <w:rsid w:val="008F55D1"/>
    <w:rsid w:val="00900092"/>
    <w:rsid w:val="0090192F"/>
    <w:rsid w:val="009117C0"/>
    <w:rsid w:val="00911FF6"/>
    <w:rsid w:val="0092016A"/>
    <w:rsid w:val="00935435"/>
    <w:rsid w:val="009547C7"/>
    <w:rsid w:val="0095552F"/>
    <w:rsid w:val="009650DE"/>
    <w:rsid w:val="009723B2"/>
    <w:rsid w:val="0098438F"/>
    <w:rsid w:val="009B2AEC"/>
    <w:rsid w:val="009C3A14"/>
    <w:rsid w:val="009C5BB8"/>
    <w:rsid w:val="009D6609"/>
    <w:rsid w:val="009D706B"/>
    <w:rsid w:val="009F1778"/>
    <w:rsid w:val="009F24F4"/>
    <w:rsid w:val="00A14826"/>
    <w:rsid w:val="00A4229A"/>
    <w:rsid w:val="00A440D7"/>
    <w:rsid w:val="00A456AF"/>
    <w:rsid w:val="00A72D4E"/>
    <w:rsid w:val="00A924BA"/>
    <w:rsid w:val="00A96B13"/>
    <w:rsid w:val="00AA3875"/>
    <w:rsid w:val="00AA4943"/>
    <w:rsid w:val="00AC7A9D"/>
    <w:rsid w:val="00AE052B"/>
    <w:rsid w:val="00AE0A2A"/>
    <w:rsid w:val="00AE7EF3"/>
    <w:rsid w:val="00AF0A8E"/>
    <w:rsid w:val="00B26A5E"/>
    <w:rsid w:val="00B35F72"/>
    <w:rsid w:val="00B45630"/>
    <w:rsid w:val="00B470F7"/>
    <w:rsid w:val="00B5059E"/>
    <w:rsid w:val="00B513B7"/>
    <w:rsid w:val="00B63926"/>
    <w:rsid w:val="00B7767B"/>
    <w:rsid w:val="00B852CD"/>
    <w:rsid w:val="00B91112"/>
    <w:rsid w:val="00BA702C"/>
    <w:rsid w:val="00BD097A"/>
    <w:rsid w:val="00BD24C4"/>
    <w:rsid w:val="00BF287B"/>
    <w:rsid w:val="00BF5388"/>
    <w:rsid w:val="00C06428"/>
    <w:rsid w:val="00C109DD"/>
    <w:rsid w:val="00C119B0"/>
    <w:rsid w:val="00C26EC7"/>
    <w:rsid w:val="00C415AD"/>
    <w:rsid w:val="00C42632"/>
    <w:rsid w:val="00C43553"/>
    <w:rsid w:val="00C44006"/>
    <w:rsid w:val="00C44A4C"/>
    <w:rsid w:val="00C52D6F"/>
    <w:rsid w:val="00C634FA"/>
    <w:rsid w:val="00C9763F"/>
    <w:rsid w:val="00CA1A85"/>
    <w:rsid w:val="00CA338C"/>
    <w:rsid w:val="00CC3F6F"/>
    <w:rsid w:val="00CC51D8"/>
    <w:rsid w:val="00CC68B4"/>
    <w:rsid w:val="00CC736B"/>
    <w:rsid w:val="00CD2533"/>
    <w:rsid w:val="00CD38DE"/>
    <w:rsid w:val="00CF0239"/>
    <w:rsid w:val="00D17A47"/>
    <w:rsid w:val="00D3104B"/>
    <w:rsid w:val="00D4018E"/>
    <w:rsid w:val="00D46F32"/>
    <w:rsid w:val="00D46FC7"/>
    <w:rsid w:val="00D66D80"/>
    <w:rsid w:val="00D85BFA"/>
    <w:rsid w:val="00D91342"/>
    <w:rsid w:val="00D93616"/>
    <w:rsid w:val="00DB1813"/>
    <w:rsid w:val="00DC2706"/>
    <w:rsid w:val="00DD7EFD"/>
    <w:rsid w:val="00DF09D1"/>
    <w:rsid w:val="00DF2384"/>
    <w:rsid w:val="00DF4768"/>
    <w:rsid w:val="00E000C0"/>
    <w:rsid w:val="00E07C92"/>
    <w:rsid w:val="00E144CA"/>
    <w:rsid w:val="00E42FAF"/>
    <w:rsid w:val="00E53EC1"/>
    <w:rsid w:val="00E556AB"/>
    <w:rsid w:val="00E618A2"/>
    <w:rsid w:val="00E663E4"/>
    <w:rsid w:val="00E67E1F"/>
    <w:rsid w:val="00E85EE0"/>
    <w:rsid w:val="00E87530"/>
    <w:rsid w:val="00E9041E"/>
    <w:rsid w:val="00E916EB"/>
    <w:rsid w:val="00E929B0"/>
    <w:rsid w:val="00EA1499"/>
    <w:rsid w:val="00EB620B"/>
    <w:rsid w:val="00EB663F"/>
    <w:rsid w:val="00EC095C"/>
    <w:rsid w:val="00EC4D46"/>
    <w:rsid w:val="00EC720F"/>
    <w:rsid w:val="00ED2D59"/>
    <w:rsid w:val="00ED3966"/>
    <w:rsid w:val="00EF44FA"/>
    <w:rsid w:val="00F0170A"/>
    <w:rsid w:val="00F022D8"/>
    <w:rsid w:val="00F0268D"/>
    <w:rsid w:val="00F11CA4"/>
    <w:rsid w:val="00F175F6"/>
    <w:rsid w:val="00F412B1"/>
    <w:rsid w:val="00F42C33"/>
    <w:rsid w:val="00F44FB1"/>
    <w:rsid w:val="00F6098F"/>
    <w:rsid w:val="00F72CA4"/>
    <w:rsid w:val="00F82B14"/>
    <w:rsid w:val="00F862B5"/>
    <w:rsid w:val="00F95626"/>
    <w:rsid w:val="00FA59D9"/>
    <w:rsid w:val="00FB02C8"/>
    <w:rsid w:val="00FD33E2"/>
    <w:rsid w:val="00FE6EDF"/>
    <w:rsid w:val="00FF3AFE"/>
    <w:rsid w:val="03F26ECE"/>
    <w:rsid w:val="11823A0B"/>
    <w:rsid w:val="14E4440C"/>
    <w:rsid w:val="1890078C"/>
    <w:rsid w:val="19673C4C"/>
    <w:rsid w:val="20E46A5D"/>
    <w:rsid w:val="394C6380"/>
    <w:rsid w:val="43B070B6"/>
    <w:rsid w:val="43EE4803"/>
    <w:rsid w:val="509E6CEB"/>
    <w:rsid w:val="52420B74"/>
    <w:rsid w:val="5B4105E7"/>
    <w:rsid w:val="5CAC3093"/>
    <w:rsid w:val="619C0EDB"/>
    <w:rsid w:val="6F6438D1"/>
    <w:rsid w:val="7714326D"/>
    <w:rsid w:val="7C87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2"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8" w:semiHidden="0" w:name="toc 1"/>
    <w:lsdException w:qFormat="1" w:uiPriority="8"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8"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2"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2"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3"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88" w:lineRule="auto"/>
    </w:pPr>
    <w:rPr>
      <w:rFonts w:ascii="Microsoft YaHei UI" w:hAnsi="Microsoft YaHei UI" w:eastAsia="Microsoft YaHei UI" w:cs="Microsoft YaHei UI"/>
      <w:color w:val="595959" w:themeColor="text1" w:themeTint="A6"/>
      <w:lang w:val="en-US" w:eastAsia="zh-CN" w:bidi="ar-SA"/>
      <w14:textFill>
        <w14:solidFill>
          <w14:schemeClr w14:val="tx1">
            <w14:lumMod w14:val="65000"/>
            <w14:lumOff w14:val="35000"/>
          </w14:schemeClr>
        </w14:solidFill>
      </w14:textFill>
    </w:rPr>
  </w:style>
  <w:style w:type="paragraph" w:styleId="2">
    <w:name w:val="heading 1"/>
    <w:basedOn w:val="1"/>
    <w:next w:val="1"/>
    <w:link w:val="25"/>
    <w:qFormat/>
    <w:uiPriority w:val="2"/>
    <w:pPr>
      <w:keepNext/>
      <w:keepLines/>
      <w:spacing w:after="480" w:line="240" w:lineRule="auto"/>
      <w:contextualSpacing/>
      <w:outlineLvl w:val="0"/>
    </w:pPr>
    <w:rPr>
      <w:color w:val="595959" w:themeColor="text1" w:themeTint="A6"/>
      <w:sz w:val="58"/>
      <w:szCs w:val="58"/>
      <w14:textFill>
        <w14:solidFill>
          <w14:schemeClr w14:val="tx1">
            <w14:lumMod w14:val="65000"/>
            <w14:lumOff w14:val="35000"/>
          </w14:schemeClr>
        </w14:solidFill>
      </w14:textFill>
    </w:rPr>
  </w:style>
  <w:style w:type="paragraph" w:styleId="3">
    <w:name w:val="heading 2"/>
    <w:basedOn w:val="1"/>
    <w:next w:val="1"/>
    <w:link w:val="30"/>
    <w:autoRedefine/>
    <w:unhideWhenUsed/>
    <w:qFormat/>
    <w:uiPriority w:val="2"/>
    <w:pPr>
      <w:keepNext/>
      <w:keepLines/>
      <w:spacing w:before="480" w:after="120"/>
      <w:contextualSpacing/>
      <w:outlineLvl w:val="1"/>
    </w:pPr>
    <w:rPr>
      <w:b/>
      <w:bCs/>
      <w:color w:val="E3A625" w:themeColor="accent1"/>
      <w:sz w:val="28"/>
      <w:szCs w:val="28"/>
      <w14:textFill>
        <w14:solidFill>
          <w14:schemeClr w14:val="accent1"/>
        </w14:solidFill>
      </w14:textFill>
    </w:rPr>
  </w:style>
  <w:style w:type="paragraph" w:styleId="4">
    <w:name w:val="heading 3"/>
    <w:basedOn w:val="1"/>
    <w:next w:val="1"/>
    <w:link w:val="31"/>
    <w:autoRedefine/>
    <w:unhideWhenUsed/>
    <w:qFormat/>
    <w:uiPriority w:val="9"/>
    <w:pPr>
      <w:keepNext/>
      <w:keepLines/>
      <w:spacing w:before="40" w:after="0"/>
      <w:outlineLvl w:val="2"/>
    </w:pPr>
    <w:rPr>
      <w:b/>
      <w:bCs/>
      <w:color w:val="595959" w:themeColor="text1" w:themeTint="A6"/>
      <w:sz w:val="22"/>
      <w:szCs w:val="22"/>
      <w14:textFill>
        <w14:solidFill>
          <w14:schemeClr w14:val="tx1">
            <w14:lumMod w14:val="65000"/>
            <w14:lumOff w14:val="35000"/>
          </w14:schemeClr>
        </w14:solidFill>
      </w14:textFill>
    </w:rPr>
  </w:style>
  <w:style w:type="paragraph" w:styleId="5">
    <w:name w:val="heading 4"/>
    <w:basedOn w:val="1"/>
    <w:next w:val="1"/>
    <w:link w:val="32"/>
    <w:autoRedefine/>
    <w:unhideWhenUsed/>
    <w:qFormat/>
    <w:uiPriority w:val="9"/>
    <w:pPr>
      <w:keepNext/>
      <w:keepLines/>
      <w:spacing w:before="40" w:after="0" w:line="240" w:lineRule="auto"/>
      <w:outlineLvl w:val="3"/>
    </w:pPr>
    <w:rPr>
      <w:b/>
      <w:bCs/>
      <w:color w:val="E3A625" w:themeColor="accent1"/>
      <w14:textFill>
        <w14:solidFill>
          <w14:schemeClr w14:val="accent1"/>
        </w14:solidFill>
      </w14:textFill>
    </w:rPr>
  </w:style>
  <w:style w:type="paragraph" w:styleId="6">
    <w:name w:val="heading 5"/>
    <w:basedOn w:val="1"/>
    <w:next w:val="1"/>
    <w:link w:val="33"/>
    <w:autoRedefine/>
    <w:semiHidden/>
    <w:unhideWhenUsed/>
    <w:qFormat/>
    <w:uiPriority w:val="9"/>
    <w:pPr>
      <w:keepNext/>
      <w:keepLines/>
      <w:spacing w:before="40" w:after="0"/>
      <w:outlineLvl w:val="4"/>
    </w:pPr>
    <w:rPr>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7">
    <w:name w:val="List Bullet"/>
    <w:basedOn w:val="1"/>
    <w:autoRedefine/>
    <w:unhideWhenUsed/>
    <w:qFormat/>
    <w:uiPriority w:val="2"/>
    <w:pPr>
      <w:numPr>
        <w:ilvl w:val="0"/>
        <w:numId w:val="1"/>
      </w:numPr>
    </w:pPr>
    <w:rPr>
      <w:color w:val="595959" w:themeColor="text1" w:themeTint="A6"/>
      <w14:textFill>
        <w14:solidFill>
          <w14:schemeClr w14:val="tx1">
            <w14:lumMod w14:val="65000"/>
            <w14:lumOff w14:val="35000"/>
          </w14:schemeClr>
        </w14:solidFill>
      </w14:textFill>
    </w:rPr>
  </w:style>
  <w:style w:type="paragraph" w:styleId="8">
    <w:name w:val="Date"/>
    <w:basedOn w:val="1"/>
    <w:next w:val="1"/>
    <w:link w:val="38"/>
    <w:autoRedefine/>
    <w:semiHidden/>
    <w:unhideWhenUsed/>
    <w:qFormat/>
    <w:uiPriority w:val="99"/>
    <w:pPr>
      <w:ind w:left="100" w:leftChars="2500"/>
    </w:pPr>
    <w:rPr>
      <w:color w:val="595959" w:themeColor="text1" w:themeTint="A6"/>
      <w14:textFill>
        <w14:solidFill>
          <w14:schemeClr w14:val="tx1">
            <w14:lumMod w14:val="65000"/>
            <w14:lumOff w14:val="35000"/>
          </w14:schemeClr>
        </w14:solidFill>
      </w14:textFill>
    </w:rPr>
  </w:style>
  <w:style w:type="paragraph" w:styleId="9">
    <w:name w:val="footer"/>
    <w:basedOn w:val="1"/>
    <w:link w:val="40"/>
    <w:autoRedefine/>
    <w:unhideWhenUsed/>
    <w:qFormat/>
    <w:uiPriority w:val="99"/>
    <w:pPr>
      <w:tabs>
        <w:tab w:val="center" w:pos="4153"/>
        <w:tab w:val="right" w:pos="8306"/>
      </w:tabs>
      <w:snapToGrid w:val="0"/>
      <w:spacing w:line="240" w:lineRule="auto"/>
    </w:pPr>
    <w:rPr>
      <w:color w:val="595959" w:themeColor="text1" w:themeTint="A6"/>
      <w:sz w:val="18"/>
      <w:szCs w:val="18"/>
      <w14:textFill>
        <w14:solidFill>
          <w14:schemeClr w14:val="tx1">
            <w14:lumMod w14:val="65000"/>
            <w14:lumOff w14:val="35000"/>
          </w14:schemeClr>
        </w14:solidFill>
      </w14:textFill>
    </w:rPr>
  </w:style>
  <w:style w:type="paragraph" w:styleId="10">
    <w:name w:val="header"/>
    <w:basedOn w:val="1"/>
    <w:link w:val="39"/>
    <w:autoRedefine/>
    <w:unhideWhenUsed/>
    <w:qFormat/>
    <w:uiPriority w:val="99"/>
    <w:pPr>
      <w:pBdr>
        <w:bottom w:val="single" w:color="auto" w:sz="6" w:space="1"/>
      </w:pBdr>
      <w:tabs>
        <w:tab w:val="center" w:pos="4153"/>
        <w:tab w:val="right" w:pos="8306"/>
      </w:tabs>
      <w:snapToGrid w:val="0"/>
      <w:spacing w:line="240" w:lineRule="auto"/>
      <w:jc w:val="center"/>
    </w:pPr>
    <w:rPr>
      <w:color w:val="595959" w:themeColor="text1" w:themeTint="A6"/>
      <w:sz w:val="18"/>
      <w:szCs w:val="18"/>
      <w14:textFill>
        <w14:solidFill>
          <w14:schemeClr w14:val="tx1">
            <w14:lumMod w14:val="65000"/>
            <w14:lumOff w14:val="35000"/>
          </w14:schemeClr>
        </w14:solidFill>
      </w14:textFill>
    </w:rPr>
  </w:style>
  <w:style w:type="paragraph" w:styleId="11">
    <w:name w:val="toc 1"/>
    <w:basedOn w:val="1"/>
    <w:next w:val="1"/>
    <w:autoRedefine/>
    <w:unhideWhenUsed/>
    <w:qFormat/>
    <w:uiPriority w:val="8"/>
    <w:pPr>
      <w:tabs>
        <w:tab w:val="right" w:leader="dot" w:pos="6120"/>
      </w:tabs>
      <w:spacing w:after="100"/>
    </w:pPr>
    <w:rPr>
      <w:color w:val="595959" w:themeColor="text1" w:themeTint="A6"/>
      <w14:textFill>
        <w14:solidFill>
          <w14:schemeClr w14:val="tx1">
            <w14:lumMod w14:val="65000"/>
            <w14:lumOff w14:val="35000"/>
          </w14:schemeClr>
        </w14:solidFill>
      </w14:textFill>
    </w:rPr>
  </w:style>
  <w:style w:type="paragraph" w:styleId="12">
    <w:name w:val="Subtitle"/>
    <w:basedOn w:val="1"/>
    <w:next w:val="1"/>
    <w:link w:val="35"/>
    <w:autoRedefine/>
    <w:qFormat/>
    <w:uiPriority w:val="3"/>
    <w:pPr>
      <w:spacing w:before="60" w:after="0" w:line="240" w:lineRule="auto"/>
    </w:pPr>
    <w:rPr>
      <w:rFonts w:asciiTheme="minorHAnsi" w:hAnsiTheme="minorHAnsi" w:eastAsiaTheme="minorEastAsia" w:cstheme="minorBidi"/>
      <w:b/>
      <w:bCs/>
      <w:color w:val="595959" w:themeColor="text1" w:themeTint="A6"/>
      <w:sz w:val="22"/>
      <w:szCs w:val="22"/>
      <w14:textFill>
        <w14:solidFill>
          <w14:schemeClr w14:val="tx1">
            <w14:lumMod w14:val="65000"/>
            <w14:lumOff w14:val="35000"/>
          </w14:schemeClr>
        </w14:solidFill>
      </w14:textFill>
    </w:rPr>
  </w:style>
  <w:style w:type="paragraph" w:styleId="13">
    <w:name w:val="toc 2"/>
    <w:basedOn w:val="11"/>
    <w:next w:val="1"/>
    <w:autoRedefine/>
    <w:unhideWhenUsed/>
    <w:qFormat/>
    <w:uiPriority w:val="8"/>
    <w:pPr>
      <w:ind w:left="200"/>
    </w:pPr>
    <w:rPr>
      <w:color w:val="595959" w:themeColor="text1" w:themeTint="A6"/>
      <w14:textFill>
        <w14:solidFill>
          <w14:schemeClr w14:val="tx1">
            <w14:lumMod w14:val="65000"/>
            <w14:lumOff w14:val="35000"/>
          </w14:schemeClr>
        </w14:solidFill>
      </w14:textFill>
    </w:rPr>
  </w:style>
  <w:style w:type="paragraph" w:styleId="14">
    <w:name w:val="Title"/>
    <w:basedOn w:val="1"/>
    <w:link w:val="34"/>
    <w:autoRedefine/>
    <w:qFormat/>
    <w:uiPriority w:val="2"/>
    <w:pPr>
      <w:spacing w:line="216" w:lineRule="auto"/>
      <w:contextualSpacing/>
    </w:pPr>
    <w:rPr>
      <w:color w:val="595959" w:themeColor="text1" w:themeTint="A6"/>
      <w:kern w:val="28"/>
      <w:sz w:val="88"/>
      <w:szCs w:val="88"/>
      <w14:textFill>
        <w14:solidFill>
          <w14:schemeClr w14:val="tx1">
            <w14:lumMod w14:val="65000"/>
            <w14:lumOff w14:val="35000"/>
          </w14:schemeClr>
        </w14:solidFill>
      </w14:textFill>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unhideWhenUsed/>
    <w:qFormat/>
    <w:uiPriority w:val="8"/>
    <w:rPr>
      <w:rFonts w:ascii="Microsoft YaHei UI" w:hAnsi="Microsoft YaHei UI" w:eastAsia="Microsoft YaHei UI" w:cs="Microsoft YaHei UI"/>
      <w:b/>
      <w:bCs/>
      <w:color w:val="E3A625" w:themeColor="accent1"/>
      <w14:textFill>
        <w14:solidFill>
          <w14:schemeClr w14:val="accent1"/>
        </w14:solidFill>
      </w14:textFill>
    </w:rPr>
  </w:style>
  <w:style w:type="character" w:styleId="19">
    <w:name w:val="Hyperlink"/>
    <w:basedOn w:val="17"/>
    <w:unhideWhenUsed/>
    <w:qFormat/>
    <w:uiPriority w:val="99"/>
    <w:rPr>
      <w:color w:val="4F8797" w:themeColor="hyperlink"/>
      <w:u w:val="single"/>
      <w14:textFill>
        <w14:solidFill>
          <w14:schemeClr w14:val="hlink"/>
        </w14:solidFill>
      </w14:textFill>
    </w:rPr>
  </w:style>
  <w:style w:type="paragraph" w:customStyle="1" w:styleId="20">
    <w:name w:val="无间距"/>
    <w:autoRedefine/>
    <w:qFormat/>
    <w:uiPriority w:val="9"/>
    <w:rPr>
      <w:rFonts w:ascii="Microsoft YaHei UI" w:hAnsi="Microsoft YaHei UI" w:eastAsia="Microsoft YaHei UI" w:cs="Microsoft YaHei UI"/>
      <w:color w:val="595959" w:themeColor="text1" w:themeTint="A6"/>
      <w:lang w:val="en-US" w:eastAsia="zh-CN" w:bidi="ar-SA"/>
      <w14:textFill>
        <w14:solidFill>
          <w14:schemeClr w14:val="tx1">
            <w14:lumMod w14:val="65000"/>
            <w14:lumOff w14:val="35000"/>
          </w14:schemeClr>
        </w14:solidFill>
      </w14:textFill>
    </w:rPr>
  </w:style>
  <w:style w:type="paragraph" w:customStyle="1" w:styleId="21">
    <w:name w:val="照片"/>
    <w:basedOn w:val="20"/>
    <w:autoRedefine/>
    <w:qFormat/>
    <w:uiPriority w:val="8"/>
    <w:pPr>
      <w:spacing w:before="100" w:after="100"/>
      <w:ind w:left="101" w:right="101"/>
      <w:jc w:val="center"/>
    </w:pPr>
    <w:rPr>
      <w:color w:val="595959" w:themeColor="text1" w:themeTint="A6"/>
      <w14:textFill>
        <w14:solidFill>
          <w14:schemeClr w14:val="tx1">
            <w14:lumMod w14:val="65000"/>
            <w14:lumOff w14:val="35000"/>
          </w14:schemeClr>
        </w14:solidFill>
      </w14:textFill>
    </w:rPr>
  </w:style>
  <w:style w:type="paragraph" w:customStyle="1" w:styleId="22">
    <w:name w:val="组织"/>
    <w:basedOn w:val="1"/>
    <w:autoRedefine/>
    <w:qFormat/>
    <w:uiPriority w:val="3"/>
    <w:pPr>
      <w:spacing w:before="120" w:after="0" w:line="240" w:lineRule="auto"/>
      <w:contextualSpacing/>
    </w:pPr>
    <w:rPr>
      <w:b/>
      <w:bCs/>
      <w:color w:val="E3A625" w:themeColor="accent1"/>
      <w:sz w:val="40"/>
      <w:szCs w:val="40"/>
      <w14:textFill>
        <w14:solidFill>
          <w14:schemeClr w14:val="accent1"/>
        </w14:solidFill>
      </w14:textFill>
    </w:rPr>
  </w:style>
  <w:style w:type="paragraph" w:customStyle="1" w:styleId="23">
    <w:name w:val="联系信息"/>
    <w:basedOn w:val="1"/>
    <w:autoRedefine/>
    <w:qFormat/>
    <w:uiPriority w:val="4"/>
    <w:pPr>
      <w:contextualSpacing/>
    </w:pPr>
    <w:rPr>
      <w:color w:val="595959" w:themeColor="text1" w:themeTint="A6"/>
      <w14:textFill>
        <w14:solidFill>
          <w14:schemeClr w14:val="tx1">
            <w14:lumMod w14:val="65000"/>
            <w14:lumOff w14:val="35000"/>
          </w14:schemeClr>
        </w14:solidFill>
      </w14:textFill>
    </w:rPr>
  </w:style>
  <w:style w:type="paragraph" w:customStyle="1" w:styleId="24">
    <w:name w:val="目录标题"/>
    <w:basedOn w:val="2"/>
    <w:next w:val="1"/>
    <w:autoRedefine/>
    <w:unhideWhenUsed/>
    <w:qFormat/>
    <w:uiPriority w:val="8"/>
    <w:pPr>
      <w:outlineLvl w:val="9"/>
    </w:pPr>
    <w:rPr>
      <w:color w:val="595959" w:themeColor="text1" w:themeTint="A6"/>
      <w14:textFill>
        <w14:solidFill>
          <w14:schemeClr w14:val="tx1">
            <w14:lumMod w14:val="65000"/>
            <w14:lumOff w14:val="35000"/>
          </w14:schemeClr>
        </w14:solidFill>
      </w14:textFill>
    </w:rPr>
  </w:style>
  <w:style w:type="character" w:customStyle="1" w:styleId="25">
    <w:name w:val="标题 1 字符"/>
    <w:basedOn w:val="17"/>
    <w:link w:val="2"/>
    <w:autoRedefine/>
    <w:qFormat/>
    <w:uiPriority w:val="2"/>
    <w:rPr>
      <w:rFonts w:ascii="Microsoft YaHei UI" w:hAnsi="Microsoft YaHei UI" w:eastAsia="Microsoft YaHei UI" w:cs="Microsoft YaHei UI"/>
      <w:sz w:val="58"/>
      <w:szCs w:val="58"/>
    </w:rPr>
  </w:style>
  <w:style w:type="character" w:customStyle="1" w:styleId="26">
    <w:name w:val="TOC 编号"/>
    <w:basedOn w:val="17"/>
    <w:autoRedefine/>
    <w:qFormat/>
    <w:uiPriority w:val="8"/>
    <w:rPr>
      <w:rFonts w:ascii="Microsoft YaHei UI" w:hAnsi="Microsoft YaHei UI" w:eastAsia="Microsoft YaHei UI" w:cs="Microsoft YaHei UI"/>
      <w:b/>
      <w:bCs/>
      <w:color w:val="E3A625" w:themeColor="accent1"/>
      <w:sz w:val="28"/>
      <w:szCs w:val="28"/>
      <w14:textFill>
        <w14:solidFill>
          <w14:schemeClr w14:val="accent1"/>
        </w14:solidFill>
      </w14:textFill>
    </w:rPr>
  </w:style>
  <w:style w:type="paragraph" w:customStyle="1" w:styleId="27">
    <w:name w:val="引言"/>
    <w:basedOn w:val="1"/>
    <w:next w:val="1"/>
    <w:link w:val="28"/>
    <w:autoRedefine/>
    <w:unhideWhenUsed/>
    <w:qFormat/>
    <w:uiPriority w:val="2"/>
    <w:pPr>
      <w:spacing w:before="280" w:after="280" w:line="264" w:lineRule="auto"/>
      <w:ind w:left="288" w:right="288"/>
    </w:pPr>
    <w:rPr>
      <w:iCs/>
      <w:color w:val="404040" w:themeColor="text1" w:themeTint="BF"/>
      <w:sz w:val="34"/>
      <w:szCs w:val="34"/>
      <w14:textFill>
        <w14:solidFill>
          <w14:schemeClr w14:val="tx1">
            <w14:lumMod w14:val="75000"/>
            <w14:lumOff w14:val="25000"/>
          </w14:schemeClr>
        </w14:solidFill>
      </w14:textFill>
    </w:rPr>
  </w:style>
  <w:style w:type="character" w:customStyle="1" w:styleId="28">
    <w:name w:val="引言字符"/>
    <w:basedOn w:val="17"/>
    <w:link w:val="27"/>
    <w:autoRedefine/>
    <w:qFormat/>
    <w:uiPriority w:val="2"/>
    <w:rPr>
      <w:rFonts w:ascii="Microsoft YaHei UI" w:hAnsi="Microsoft YaHei UI" w:eastAsia="Microsoft YaHei UI" w:cs="Microsoft YaHei UI"/>
      <w:iCs/>
      <w:color w:val="404040" w:themeColor="text1" w:themeTint="BF"/>
      <w:sz w:val="34"/>
      <w:szCs w:val="34"/>
      <w14:textFill>
        <w14:solidFill>
          <w14:schemeClr w14:val="tx1">
            <w14:lumMod w14:val="75000"/>
            <w14:lumOff w14:val="25000"/>
          </w14:schemeClr>
        </w14:solidFill>
      </w14:textFill>
    </w:rPr>
  </w:style>
  <w:style w:type="paragraph" w:customStyle="1" w:styleId="29">
    <w:name w:val="描述"/>
    <w:basedOn w:val="1"/>
    <w:next w:val="1"/>
    <w:autoRedefine/>
    <w:unhideWhenUsed/>
    <w:qFormat/>
    <w:uiPriority w:val="9"/>
    <w:pPr>
      <w:spacing w:before="40" w:after="40" w:line="264" w:lineRule="auto"/>
      <w:contextualSpacing/>
    </w:pPr>
    <w:rPr>
      <w:iCs/>
      <w:color w:val="595959" w:themeColor="text1" w:themeTint="A6"/>
      <w:sz w:val="16"/>
      <w:szCs w:val="16"/>
      <w14:textFill>
        <w14:solidFill>
          <w14:schemeClr w14:val="tx1">
            <w14:lumMod w14:val="65000"/>
            <w14:lumOff w14:val="35000"/>
          </w14:schemeClr>
        </w14:solidFill>
      </w14:textFill>
    </w:rPr>
  </w:style>
  <w:style w:type="character" w:customStyle="1" w:styleId="30">
    <w:name w:val="标题 2 字符"/>
    <w:basedOn w:val="17"/>
    <w:link w:val="3"/>
    <w:autoRedefine/>
    <w:qFormat/>
    <w:uiPriority w:val="2"/>
    <w:rPr>
      <w:rFonts w:ascii="Microsoft YaHei UI" w:hAnsi="Microsoft YaHei UI" w:eastAsia="Microsoft YaHei UI" w:cs="Microsoft YaHei UI"/>
      <w:b/>
      <w:bCs/>
      <w:color w:val="E3A625" w:themeColor="accent1"/>
      <w:sz w:val="28"/>
      <w:szCs w:val="28"/>
      <w14:textFill>
        <w14:solidFill>
          <w14:schemeClr w14:val="accent1"/>
        </w14:solidFill>
      </w14:textFill>
    </w:rPr>
  </w:style>
  <w:style w:type="character" w:customStyle="1" w:styleId="31">
    <w:name w:val="标题 3 字符"/>
    <w:basedOn w:val="17"/>
    <w:link w:val="4"/>
    <w:autoRedefine/>
    <w:qFormat/>
    <w:uiPriority w:val="9"/>
    <w:rPr>
      <w:rFonts w:ascii="Microsoft YaHei UI" w:hAnsi="Microsoft YaHei UI" w:eastAsia="Microsoft YaHei UI" w:cs="Microsoft YaHei UI"/>
      <w:b/>
      <w:bCs/>
      <w:sz w:val="22"/>
      <w:szCs w:val="22"/>
    </w:rPr>
  </w:style>
  <w:style w:type="character" w:customStyle="1" w:styleId="32">
    <w:name w:val="标题 4 字符"/>
    <w:basedOn w:val="17"/>
    <w:link w:val="5"/>
    <w:autoRedefine/>
    <w:qFormat/>
    <w:uiPriority w:val="9"/>
    <w:rPr>
      <w:rFonts w:ascii="Microsoft YaHei UI" w:hAnsi="Microsoft YaHei UI" w:eastAsia="Microsoft YaHei UI" w:cs="Microsoft YaHei UI"/>
      <w:b/>
      <w:bCs/>
      <w:color w:val="E3A625" w:themeColor="accent1"/>
      <w14:textFill>
        <w14:solidFill>
          <w14:schemeClr w14:val="accent1"/>
        </w14:solidFill>
      </w14:textFill>
    </w:rPr>
  </w:style>
  <w:style w:type="character" w:customStyle="1" w:styleId="33">
    <w:name w:val="标题 5 字符"/>
    <w:basedOn w:val="17"/>
    <w:link w:val="6"/>
    <w:autoRedefine/>
    <w:semiHidden/>
    <w:qFormat/>
    <w:uiPriority w:val="9"/>
    <w:rPr>
      <w:rFonts w:ascii="Microsoft YaHei UI" w:hAnsi="Microsoft YaHei UI" w:eastAsia="Microsoft YaHei UI" w:cs="Microsoft YaHei UI"/>
    </w:rPr>
  </w:style>
  <w:style w:type="character" w:customStyle="1" w:styleId="34">
    <w:name w:val="标题 字符"/>
    <w:basedOn w:val="17"/>
    <w:link w:val="14"/>
    <w:autoRedefine/>
    <w:qFormat/>
    <w:uiPriority w:val="2"/>
    <w:rPr>
      <w:rFonts w:ascii="Microsoft YaHei UI" w:hAnsi="Microsoft YaHei UI" w:eastAsia="Microsoft YaHei UI" w:cs="Microsoft YaHei UI"/>
      <w:kern w:val="28"/>
      <w:sz w:val="88"/>
      <w:szCs w:val="88"/>
    </w:rPr>
  </w:style>
  <w:style w:type="character" w:customStyle="1" w:styleId="35">
    <w:name w:val="副标题 字符"/>
    <w:basedOn w:val="17"/>
    <w:link w:val="12"/>
    <w:autoRedefine/>
    <w:qFormat/>
    <w:uiPriority w:val="3"/>
    <w:rPr>
      <w:b/>
      <w:bCs/>
      <w:sz w:val="22"/>
      <w:szCs w:val="22"/>
    </w:rPr>
  </w:style>
  <w:style w:type="paragraph" w:styleId="36">
    <w:name w:val="No Spacing"/>
    <w:qFormat/>
    <w:uiPriority w:val="1"/>
    <w:rPr>
      <w:rFonts w:ascii="Microsoft YaHei UI" w:hAnsi="Microsoft YaHei UI" w:eastAsia="Microsoft YaHei UI" w:cs="Microsoft YaHei UI"/>
      <w:color w:val="595959" w:themeColor="text1" w:themeTint="A6"/>
      <w:lang w:val="en-US" w:eastAsia="zh-CN" w:bidi="ar-SA"/>
      <w14:textFill>
        <w14:solidFill>
          <w14:schemeClr w14:val="tx1">
            <w14:lumMod w14:val="65000"/>
            <w14:lumOff w14:val="35000"/>
          </w14:schemeClr>
        </w14:solidFill>
      </w14:textFill>
    </w:rPr>
  </w:style>
  <w:style w:type="paragraph" w:styleId="37">
    <w:name w:val="List Paragraph"/>
    <w:basedOn w:val="1"/>
    <w:autoRedefine/>
    <w:unhideWhenUsed/>
    <w:qFormat/>
    <w:uiPriority w:val="34"/>
    <w:pPr>
      <w:ind w:firstLine="420" w:firstLineChars="200"/>
    </w:pPr>
    <w:rPr>
      <w:color w:val="595959" w:themeColor="text1" w:themeTint="A6"/>
      <w14:textFill>
        <w14:solidFill>
          <w14:schemeClr w14:val="tx1">
            <w14:lumMod w14:val="65000"/>
            <w14:lumOff w14:val="35000"/>
          </w14:schemeClr>
        </w14:solidFill>
      </w14:textFill>
    </w:rPr>
  </w:style>
  <w:style w:type="character" w:customStyle="1" w:styleId="38">
    <w:name w:val="日期 字符"/>
    <w:basedOn w:val="17"/>
    <w:link w:val="8"/>
    <w:autoRedefine/>
    <w:semiHidden/>
    <w:qFormat/>
    <w:uiPriority w:val="99"/>
    <w:rPr>
      <w:rFonts w:ascii="Microsoft YaHei UI" w:hAnsi="Microsoft YaHei UI" w:eastAsia="Microsoft YaHei UI" w:cs="Microsoft YaHei UI"/>
    </w:rPr>
  </w:style>
  <w:style w:type="character" w:customStyle="1" w:styleId="39">
    <w:name w:val="页眉 字符"/>
    <w:basedOn w:val="17"/>
    <w:link w:val="10"/>
    <w:autoRedefine/>
    <w:qFormat/>
    <w:uiPriority w:val="99"/>
    <w:rPr>
      <w:rFonts w:ascii="Microsoft YaHei UI" w:hAnsi="Microsoft YaHei UI" w:eastAsia="Microsoft YaHei UI" w:cs="Microsoft YaHei UI"/>
      <w:sz w:val="18"/>
      <w:szCs w:val="18"/>
    </w:rPr>
  </w:style>
  <w:style w:type="character" w:customStyle="1" w:styleId="40">
    <w:name w:val="页脚 字符"/>
    <w:basedOn w:val="17"/>
    <w:link w:val="9"/>
    <w:autoRedefine/>
    <w:qFormat/>
    <w:uiPriority w:val="99"/>
    <w:rPr>
      <w:rFonts w:ascii="Microsoft YaHei UI" w:hAnsi="Microsoft YaHei UI" w:eastAsia="Microsoft YaHei UI" w:cs="Microsoft YaHei UI"/>
      <w:sz w:val="18"/>
      <w:szCs w:val="18"/>
    </w:rPr>
  </w:style>
  <w:style w:type="character" w:styleId="41">
    <w:name w:val="Placeholder Text"/>
    <w:basedOn w:val="17"/>
    <w:unhideWhenUsed/>
    <w:qFormat/>
    <w:uiPriority w:val="99"/>
    <w:rPr>
      <w:color w:val="666666"/>
    </w:rPr>
  </w:style>
  <w:style w:type="character" w:customStyle="1" w:styleId="42">
    <w:name w:val="未处理的提及1"/>
    <w:basedOn w:val="17"/>
    <w:semiHidden/>
    <w:unhideWhenUsed/>
    <w:qFormat/>
    <w:uiPriority w:val="99"/>
    <w:rPr>
      <w:color w:val="605E5C"/>
      <w:shd w:val="clear" w:color="auto" w:fill="E1DFDD"/>
    </w:rPr>
  </w:style>
  <w:style w:type="paragraph" w:customStyle="1" w:styleId="43">
    <w:name w:val="Revision"/>
    <w:hidden/>
    <w:unhideWhenUsed/>
    <w:qFormat/>
    <w:uiPriority w:val="99"/>
    <w:rPr>
      <w:rFonts w:ascii="Microsoft YaHei UI" w:hAnsi="Microsoft YaHei UI" w:eastAsia="Microsoft YaHei UI" w:cs="Microsoft YaHei UI"/>
      <w:color w:val="595959" w:themeColor="text1" w:themeTint="A6"/>
      <w:lang w:val="en-US" w:eastAsia="zh-CN" w:bidi="ar-SA"/>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Booklet">
      <a:dk1>
        <a:sysClr val="windowText" lastClr="000000"/>
      </a:dk1>
      <a:lt1>
        <a:sysClr val="window" lastClr="FFFFFF"/>
      </a:lt1>
      <a:dk2>
        <a:srgbClr val="323232"/>
      </a:dk2>
      <a:lt2>
        <a:srgbClr val="E6E6E6"/>
      </a:lt2>
      <a:accent1>
        <a:srgbClr val="E3A625"/>
      </a:accent1>
      <a:accent2>
        <a:srgbClr val="6D7483"/>
      </a:accent2>
      <a:accent3>
        <a:srgbClr val="D16349"/>
      </a:accent3>
      <a:accent4>
        <a:srgbClr val="4F8797"/>
      </a:accent4>
      <a:accent5>
        <a:srgbClr val="7F6C60"/>
      </a:accent5>
      <a:accent6>
        <a:srgbClr val="638865"/>
      </a:accent6>
      <a:hlink>
        <a:srgbClr val="4F8797"/>
      </a:hlink>
      <a:folHlink>
        <a:srgbClr val="6D7483"/>
      </a:folHlink>
    </a:clrScheme>
    <a:fontScheme name="Cambria">
      <a:maj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04d7639d-d5aa-40f0-adaf-51e8c43e14dd</errorID>
      <errorWord>（</errorWord>
      <group>L1_Format</group>
      <groupName>格式问题</groupName>
      <ability>L2_HalfPunc_CN</ability>
      <abilityName>全半角问题</abilityName>
      <candidateList>
        <item>(</item>
      </candidateList>
      <explain>文本全半角错误。</explain>
      <paraID> FE4CE5A</paraID>
      <start>14</start>
      <end>15</end>
      <status>unmodified</status>
      <modifiedWord/>
      <trackRevisions>false</trackRevisions>
    </reviewItem>
    <reviewItem>
      <errorID>7c846ba3-2972-4792-93d1-b96c76805040</errorID>
      <errorWord>）</errorWord>
      <group>L1_Format</group>
      <groupName>格式问题</groupName>
      <ability>L2_HalfPunc_CN</ability>
      <abilityName>全半角问题</abilityName>
      <candidateList>
        <item>)</item>
      </candidateList>
      <explain>文本全半角错误。</explain>
      <paraID> FE4CE5A</paraID>
      <start>28</start>
      <end>29</end>
      <status>unmodified</status>
      <modifiedWord/>
      <trackRevisions>false</trackRevisions>
    </reviewItem>
    <reviewItem>
      <errorID>9096878b-b3f3-4fac-8166-dc675fcec35b</errorID>
      <errorWord>见</errorWord>
      <group>L1_Word</group>
      <groupName>字词问题</groupName>
      <ability>L2_Typo</ability>
      <abilityName>字词错误</abilityName>
      <candidateList>
        <item>见下</item>
      </candidateList>
      <explain/>
      <paraID>2A428B9B</paraID>
      <start>16</start>
      <end>17</end>
      <status>unmodified</status>
      <modifiedWord/>
      <trackRevisions>false</trackRevisions>
    </reviewItem>
    <reviewItem>
      <errorID>7ee2eef0-4572-4f54-b50b-5a40c54c98c1</errorID>
      <errorWord>印记</errorWord>
      <group>L1_Word</group>
      <groupName>字词问题</groupName>
      <ability>L2_Typo</ability>
      <abilityName>字词错误</abilityName>
      <candidateList>
        <item>印鉴</item>
      </candidateList>
      <explain/>
      <paraID>7CAC9C1D</paraID>
      <start>11</start>
      <end>13</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DDB55-6BD5-4700-99CF-89C1947C3995}">
  <ds:schemaRefs/>
</ds:datastoreItem>
</file>

<file path=customXml/itemProps2.xml><?xml version="1.0" encoding="utf-8"?>
<ds:datastoreItem xmlns:ds="http://schemas.openxmlformats.org/officeDocument/2006/customXml" ds:itemID="{2ADE321B-8C8F-433F-8EC1-17F6253BDCA7}">
  <ds:schemaRefs/>
</ds:datastoreItem>
</file>

<file path=docProps/app.xml><?xml version="1.0" encoding="utf-8"?>
<Properties xmlns="http://schemas.openxmlformats.org/officeDocument/2006/extended-properties" xmlns:vt="http://schemas.openxmlformats.org/officeDocument/2006/docPropsVTypes">
  <Template>Normal</Template>
  <Pages>11</Pages>
  <Words>1837</Words>
  <Characters>2653</Characters>
  <Lines>44</Lines>
  <Paragraphs>12</Paragraphs>
  <TotalTime>5</TotalTime>
  <ScaleCrop>false</ScaleCrop>
  <LinksUpToDate>false</LinksUpToDate>
  <CharactersWithSpaces>2820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2026-08-05T02:47:00Z</dcterms:created>
  <dc:creator>Hydy_Song</dc:creator>
  <cp:lastModifiedBy>Julian</cp:lastModifiedBy>
  <dcterms:modified xsi:type="dcterms:W3CDTF">2026-08-05T03:44:03Z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AC95CE328D114DB493B582FB8404632D_13</vt:lpwstr>
  </property>
  <property fmtid="{D5CDD505-2E9C-101B-9397-08002B2CF9AE}" pid="4" name="KSOTemplateDocerSaveRecord">
    <vt:lpwstr>eyJoZGlkIjoiOGI4NjI5OTBmMDM1ODFlMDkzNDFlZTFiMWNhZWU5ZTMiLCJ1c2VySWQiOiIzMDk3NTI4ODEifQ==</vt:lpwstr>
  </property>
</Properties>
</file>