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E1E0">
      <w:pPr>
        <w:jc w:val="left"/>
        <w:rPr>
          <w:rFonts w:hint="eastAsia" w:ascii="黑体" w:hAnsi="黑体" w:eastAsia="黑体" w:cs="黑体"/>
          <w:color w:val="0000FF"/>
          <w:lang w:val="en-US" w:eastAsia="zh-CN"/>
        </w:rPr>
      </w:pPr>
      <w:bookmarkStart w:id="30" w:name="_GoBack"/>
      <w:bookmarkEnd w:id="30"/>
      <w:r>
        <w:rPr>
          <w:rFonts w:hint="eastAsia" w:ascii="黑体" w:hAnsi="黑体" w:eastAsia="黑体" w:cs="黑体"/>
          <w:lang w:val="en-US" w:eastAsia="zh-CN"/>
        </w:rPr>
        <w:t>ICS 11.040.40</w:t>
      </w:r>
    </w:p>
    <w:p w14:paraId="66036EE9">
      <w:pPr>
        <w:jc w:val="left"/>
        <w:rPr>
          <w:rFonts w:hint="default" w:ascii="Times New Roman" w:hAnsi="Times New Roman" w:eastAsia="黑体" w:cs="Times New Roman"/>
          <w:color w:val="auto"/>
          <w:highlight w:val="none"/>
          <w:lang w:val="en-US" w:eastAsia="zh-CN"/>
        </w:rPr>
      </w:pPr>
      <w:r>
        <w:rPr>
          <w:rFonts w:hint="eastAsia" w:ascii="黑体" w:hAnsi="黑体" w:eastAsia="黑体" w:cs="黑体"/>
          <w:color w:val="auto"/>
          <w:highlight w:val="none"/>
          <w:lang w:val="en-US" w:eastAsia="zh-CN"/>
        </w:rPr>
        <w:t>CCS C30</w:t>
      </w:r>
    </w:p>
    <w:p w14:paraId="59D78391">
      <w:pPr>
        <w:rPr>
          <w:rFonts w:hint="default" w:ascii="Times New Roman" w:hAnsi="Times New Roman" w:cs="Times New Roman"/>
          <w:color w:val="0000FF"/>
          <w:lang w:val="en-US" w:eastAsia="zh-CN"/>
        </w:rPr>
      </w:pPr>
    </w:p>
    <w:p w14:paraId="67197FE2">
      <w:pPr>
        <w:jc w:val="both"/>
        <w:rPr>
          <w:rFonts w:hint="default" w:ascii="Times New Roman" w:hAnsi="Times New Roman" w:cs="Times New Roman"/>
          <w:lang w:val="en-US" w:eastAsia="zh-CN"/>
        </w:rPr>
      </w:pPr>
      <w:r>
        <w:rPr>
          <w:rFonts w:hint="default" w:ascii="Times New Roman" w:hAnsi="Times New Roman" w:cs="Times New Roman"/>
          <w:color w:val="0000FF"/>
          <w:lang w:val="en-US" w:eastAsia="zh-CN"/>
        </w:rPr>
        <w:t xml:space="preserve">                  </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b/>
          <w:bCs/>
          <w:spacing w:val="78"/>
          <w:kern w:val="0"/>
          <w:sz w:val="84"/>
          <w:szCs w:val="84"/>
          <w:fitText w:val="3612" w:id="52635017"/>
          <w:lang w:val="en-US" w:eastAsia="zh-CN"/>
        </w:rPr>
        <w:t>T/CSB</w:t>
      </w:r>
      <w:r>
        <w:rPr>
          <w:rFonts w:hint="default" w:ascii="Times New Roman" w:hAnsi="Times New Roman" w:cs="Times New Roman"/>
          <w:b/>
          <w:bCs/>
          <w:spacing w:val="1"/>
          <w:kern w:val="0"/>
          <w:sz w:val="84"/>
          <w:szCs w:val="84"/>
          <w:fitText w:val="3612" w:id="52635017"/>
          <w:lang w:val="en-US" w:eastAsia="zh-CN"/>
        </w:rPr>
        <w:t>M</w:t>
      </w:r>
      <w:r>
        <w:rPr>
          <w:rFonts w:hint="eastAsia" w:cs="Times New Roman"/>
          <w:b/>
          <w:bCs/>
          <w:sz w:val="84"/>
          <w:szCs w:val="84"/>
          <w:lang w:val="en-US" w:eastAsia="zh-CN"/>
        </w:rPr>
        <w:t xml:space="preserve"> </w:t>
      </w:r>
    </w:p>
    <w:p w14:paraId="6F9FC9F6">
      <w:pPr>
        <w:jc w:val="distribute"/>
        <w:rPr>
          <w:rFonts w:hint="default" w:ascii="Times New Roman" w:hAnsi="Times New Roman" w:eastAsia="黑体" w:cs="Times New Roman"/>
          <w:sz w:val="52"/>
          <w:szCs w:val="52"/>
          <w:lang w:val="en-US" w:eastAsia="zh-CN"/>
        </w:rPr>
      </w:pPr>
      <w:r>
        <w:rPr>
          <w:rFonts w:hint="default" w:ascii="Times New Roman" w:hAnsi="Times New Roman" w:eastAsia="黑体" w:cs="Times New Roman"/>
          <w:b w:val="0"/>
          <w:bCs w:val="0"/>
          <w:sz w:val="48"/>
          <w:szCs w:val="48"/>
          <w:lang w:val="en-US" w:eastAsia="zh-CN"/>
        </w:rPr>
        <w:t>团  体  标  准</w:t>
      </w:r>
    </w:p>
    <w:p w14:paraId="11C36283">
      <w:pPr>
        <w:jc w:val="righ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T/CSBM </w:t>
      </w:r>
      <w:r>
        <w:rPr>
          <w:rFonts w:hint="eastAsia" w:eastAsia="黑体" w:cs="Times New Roman"/>
          <w:sz w:val="28"/>
          <w:szCs w:val="28"/>
          <w:lang w:val="en-US" w:eastAsia="zh-CN"/>
        </w:rPr>
        <w:t>X</w:t>
      </w:r>
      <w:r>
        <w:rPr>
          <w:rFonts w:hint="default" w:ascii="Times New Roman" w:hAnsi="Times New Roman" w:eastAsia="黑体" w:cs="Times New Roman"/>
          <w:sz w:val="28"/>
          <w:szCs w:val="28"/>
          <w:lang w:val="en-US" w:eastAsia="zh-CN"/>
        </w:rPr>
        <w:t>XXX-</w:t>
      </w:r>
      <w:r>
        <w:rPr>
          <w:rFonts w:hint="eastAsia" w:eastAsia="黑体" w:cs="Times New Roman"/>
          <w:sz w:val="28"/>
          <w:szCs w:val="28"/>
          <w:lang w:val="en-US" w:eastAsia="zh-CN"/>
        </w:rPr>
        <w:t>2025</w:t>
      </w:r>
    </w:p>
    <w:p w14:paraId="33ACF541">
      <w:pPr>
        <w:jc w:val="center"/>
        <w:rPr>
          <w:rFonts w:hint="default" w:ascii="Times New Roman" w:hAnsi="Times New Roman" w:eastAsia="黑体" w:cs="Times New Roman"/>
          <w:sz w:val="28"/>
          <w:szCs w:val="28"/>
          <w:lang w:val="en-US" w:eastAsia="zh-CN"/>
        </w:rPr>
      </w:pPr>
    </w:p>
    <w:p w14:paraId="0B06B133">
      <w:pPr>
        <w:jc w:val="center"/>
        <w:rPr>
          <w:rFonts w:hint="default" w:ascii="Times New Roman" w:hAnsi="Times New Roman" w:eastAsia="黑体" w:cs="Times New Roman"/>
          <w:sz w:val="28"/>
          <w:szCs w:val="28"/>
          <w:lang w:val="en-US" w:eastAsia="zh-CN"/>
        </w:rPr>
      </w:pPr>
      <w:r>
        <w:rPr>
          <w:rFonts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28575</wp:posOffset>
                </wp:positionV>
                <wp:extent cx="5292090" cy="9525"/>
                <wp:effectExtent l="0" t="0" r="0" b="0"/>
                <wp:wrapNone/>
                <wp:docPr id="1" name="直接连接符 1"/>
                <wp:cNvGraphicFramePr/>
                <a:graphic xmlns:a="http://schemas.openxmlformats.org/drawingml/2006/main">
                  <a:graphicData uri="http://schemas.microsoft.com/office/word/2010/wordprocessingShape">
                    <wps:wsp>
                      <wps:cNvCnPr/>
                      <wps:spPr>
                        <a:xfrm>
                          <a:off x="876300" y="3474720"/>
                          <a:ext cx="529209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5pt;margin-top:2.25pt;height:0.75pt;width:416.7pt;z-index:251659264;mso-width-relative:page;mso-height-relative:page;" filled="f" stroked="t" coordsize="21600,21600" o:gfxdata="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ezl+1wAAAAYBAAAPAAAAAAAAAAEAIAAAACIAAABkcnMvZG93bnJldi54bWxQSwECFAAU&#10;AAAACACHTuJA974MF/IBAADAAwAADgAAAAAAAAABACAAAAAmAQAAZHJzL2Uyb0RvYy54bWxQSwUG&#10;AAAAAAYABgBZAQAAigUAAAAA&#10;">
                <v:fill on="f" focussize="0,0"/>
                <v:stroke weight="1pt" color="#000000 [3200]" miterlimit="8" joinstyle="miter"/>
                <v:imagedata o:title=""/>
                <o:lock v:ext="edit" aspectratio="f"/>
              </v:line>
            </w:pict>
          </mc:Fallback>
        </mc:AlternateContent>
      </w:r>
    </w:p>
    <w:p w14:paraId="7A8A284B">
      <w:pPr>
        <w:jc w:val="center"/>
        <w:rPr>
          <w:rFonts w:hint="default" w:ascii="Times New Roman" w:hAnsi="Times New Roman" w:eastAsia="黑体" w:cs="Times New Roman"/>
          <w:sz w:val="28"/>
          <w:szCs w:val="28"/>
          <w:lang w:val="en-US" w:eastAsia="zh-CN"/>
        </w:rPr>
      </w:pPr>
    </w:p>
    <w:p w14:paraId="346DABDA">
      <w:pPr>
        <w:jc w:val="center"/>
        <w:rPr>
          <w:rFonts w:hint="default" w:ascii="Times New Roman" w:hAnsi="Times New Roman" w:eastAsia="黑体" w:cs="Times New Roman"/>
          <w:sz w:val="28"/>
          <w:szCs w:val="28"/>
          <w:lang w:val="en-US" w:eastAsia="zh-CN"/>
        </w:rPr>
      </w:pPr>
    </w:p>
    <w:p w14:paraId="62C605A8">
      <w:pPr>
        <w:jc w:val="center"/>
        <w:outlineLvl w:val="0"/>
        <w:rPr>
          <w:rFonts w:hint="eastAsia" w:ascii="黑体" w:hAnsi="黑体" w:eastAsia="黑体" w:cs="黑体"/>
          <w:color w:val="000000" w:themeColor="text1"/>
          <w:sz w:val="52"/>
          <w:szCs w:val="52"/>
          <w:lang w:val="en-US"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基于ARE-Nrf2荧光素酶的皮肤致敏体外细胞试验方法</w:t>
      </w:r>
    </w:p>
    <w:p w14:paraId="3FE9B309">
      <w:pPr>
        <w:jc w:val="center"/>
        <w:rPr>
          <w:rFonts w:hint="eastAsia" w:ascii="黑体" w:hAnsi="黑体" w:eastAsia="黑体" w:cs="黑体"/>
          <w:color w:val="000000" w:themeColor="text1"/>
          <w:sz w:val="28"/>
          <w:szCs w:val="28"/>
          <w:highlight w:val="none"/>
          <w:shd w:val="clear" w:color="auto" w:fill="auto"/>
          <w14:textFill>
            <w14:solidFill>
              <w14:schemeClr w14:val="tx1"/>
            </w14:solidFill>
          </w14:textFill>
        </w:rPr>
      </w:pP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Test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m</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ethod for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s</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kin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s</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ensitization using an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i</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n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v</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itro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c</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ell-</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b</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ased ARE-Nrf2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l</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 xml:space="preserve">uciferase </w:t>
      </w:r>
      <w:r>
        <w:rPr>
          <w:rFonts w:hint="eastAsia" w:ascii="黑体" w:hAnsi="黑体" w:eastAsia="黑体" w:cs="黑体"/>
          <w:color w:val="000000" w:themeColor="text1"/>
          <w:sz w:val="28"/>
          <w:szCs w:val="28"/>
          <w:highlight w:val="none"/>
          <w:shd w:val="clear" w:color="auto" w:fill="auto"/>
          <w:lang w:val="en-US" w:eastAsia="zh-CN"/>
          <w14:textFill>
            <w14:solidFill>
              <w14:schemeClr w14:val="tx1"/>
            </w14:solidFill>
          </w14:textFill>
        </w:rPr>
        <w:t>a</w:t>
      </w:r>
      <w:r>
        <w:rPr>
          <w:rFonts w:hint="eastAsia" w:ascii="黑体" w:hAnsi="黑体" w:eastAsia="黑体" w:cs="黑体"/>
          <w:color w:val="000000" w:themeColor="text1"/>
          <w:sz w:val="28"/>
          <w:szCs w:val="28"/>
          <w:highlight w:val="none"/>
          <w:shd w:val="clear" w:color="auto" w:fill="auto"/>
          <w14:textFill>
            <w14:solidFill>
              <w14:schemeClr w14:val="tx1"/>
            </w14:solidFill>
          </w14:textFill>
        </w:rPr>
        <w:t>ssay</w:t>
      </w:r>
    </w:p>
    <w:p w14:paraId="7E1FB36B">
      <w:pPr>
        <w:jc w:val="center"/>
        <w:rPr>
          <w:rFonts w:hint="eastAsia" w:ascii="黑体" w:hAnsi="黑体" w:eastAsia="黑体" w:cs="黑体"/>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黑体" w:hAnsi="黑体" w:eastAsia="黑体" w:cs="黑体"/>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黑体" w:hAnsi="黑体" w:eastAsia="黑体" w:cs="黑体"/>
          <w:i w:val="0"/>
          <w:iCs w:val="0"/>
          <w:caps w:val="0"/>
          <w:color w:val="000000" w:themeColor="text1"/>
          <w:spacing w:val="0"/>
          <w:sz w:val="28"/>
          <w:szCs w:val="28"/>
          <w:highlight w:val="none"/>
          <w:shd w:val="clear" w:color="auto" w:fill="auto"/>
          <w:lang w:val="en-US" w:eastAsia="zh-CN"/>
          <w14:textFill>
            <w14:solidFill>
              <w14:schemeClr w14:val="tx1"/>
            </w14:solidFill>
          </w14:textFill>
        </w:rPr>
        <w:t>征求意见稿</w:t>
      </w:r>
      <w:r>
        <w:rPr>
          <w:rFonts w:hint="eastAsia" w:ascii="黑体" w:hAnsi="黑体" w:eastAsia="黑体" w:cs="黑体"/>
          <w:i w:val="0"/>
          <w:iCs w:val="0"/>
          <w:caps w:val="0"/>
          <w:color w:val="000000" w:themeColor="text1"/>
          <w:spacing w:val="0"/>
          <w:sz w:val="28"/>
          <w:szCs w:val="28"/>
          <w:highlight w:val="none"/>
          <w:shd w:val="clear" w:color="auto" w:fill="auto"/>
          <w:lang w:eastAsia="zh-CN"/>
          <w14:textFill>
            <w14:solidFill>
              <w14:schemeClr w14:val="tx1"/>
            </w14:solidFill>
          </w14:textFill>
        </w:rPr>
        <w:t>）</w:t>
      </w:r>
    </w:p>
    <w:p w14:paraId="7111F619">
      <w:pPr>
        <w:jc w:val="center"/>
        <w:rPr>
          <w:rFonts w:hint="default" w:ascii="Times New Roman" w:hAnsi="Times New Roman" w:eastAsia="黑体" w:cs="Times New Roman"/>
          <w:i w:val="0"/>
          <w:iCs w:val="0"/>
          <w:caps w:val="0"/>
          <w:color w:val="333333"/>
          <w:spacing w:val="0"/>
          <w:sz w:val="28"/>
          <w:szCs w:val="28"/>
          <w:shd w:val="clear" w:fill="F5F5F5"/>
          <w:lang w:eastAsia="zh-CN"/>
        </w:rPr>
      </w:pPr>
    </w:p>
    <w:p w14:paraId="4DE8DFBC">
      <w:pPr>
        <w:jc w:val="center"/>
        <w:rPr>
          <w:rFonts w:hint="default" w:ascii="Times New Roman" w:hAnsi="Times New Roman" w:eastAsia="黑体" w:cs="Times New Roman"/>
          <w:i w:val="0"/>
          <w:iCs w:val="0"/>
          <w:caps w:val="0"/>
          <w:color w:val="333333"/>
          <w:spacing w:val="0"/>
          <w:sz w:val="28"/>
          <w:szCs w:val="28"/>
          <w:shd w:val="clear" w:fill="F5F5F5"/>
          <w:lang w:eastAsia="zh-CN"/>
        </w:rPr>
      </w:pPr>
    </w:p>
    <w:p w14:paraId="4906C2C8">
      <w:pPr>
        <w:jc w:val="center"/>
        <w:rPr>
          <w:rFonts w:hint="default" w:ascii="Times New Roman" w:hAnsi="Times New Roman" w:cs="Times New Roman"/>
          <w:sz w:val="28"/>
          <w:lang w:val="en-US" w:eastAsia="zh-CN"/>
        </w:rPr>
      </w:pPr>
    </w:p>
    <w:p w14:paraId="1675DE2B">
      <w:pPr>
        <w:jc w:val="center"/>
        <w:rPr>
          <w:rFonts w:hint="default" w:ascii="Times New Roman" w:hAnsi="Times New Roman" w:cs="Times New Roman"/>
          <w:sz w:val="28"/>
          <w:lang w:val="en-US" w:eastAsia="zh-CN"/>
        </w:rPr>
      </w:pPr>
    </w:p>
    <w:p w14:paraId="6581B5C2">
      <w:pPr>
        <w:jc w:val="both"/>
        <w:rPr>
          <w:rFonts w:hint="default" w:ascii="Times New Roman" w:hAnsi="Times New Roman" w:eastAsia="黑体" w:cs="Times New Roman"/>
          <w:sz w:val="28"/>
          <w:lang w:val="en-US" w:eastAsia="zh-CN"/>
        </w:rPr>
      </w:pPr>
      <w:r>
        <w:rPr>
          <w:rFonts w:hint="default" w:ascii="Times New Roman" w:hAnsi="Times New Roman" w:eastAsia="黑体" w:cs="Times New Roman"/>
          <w:sz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374650</wp:posOffset>
                </wp:positionV>
                <wp:extent cx="52920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9209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65pt;margin-top:29.5pt;height:0.05pt;width:416.7pt;z-index:251660288;mso-width-relative:page;mso-height-relative:page;" filled="f" stroked="t" coordsize="21600,21600" o:gfxdata="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dME+/YAAAA&#10;CAEAAA8AAAAAAAAAAQAgAAAAIgAAAGRycy9kb3ducmV2LnhtbFBLAQIUABQAAAAIAIdO4kBF/125&#10;5AEAALQDAAAOAAAAAAAAAAEAIAAAACcBAABkcnMvZTJvRG9jLnhtbFBLBQYAAAAABgAGAFkBAAB9&#10;BQAAAAA=&#10;">
                <v:fill on="f" focussize="0,0"/>
                <v:stroke weight="1pt" color="#000000 [3200]" miterlimit="8" joinstyle="miter"/>
                <v:imagedata o:title=""/>
                <o:lock v:ext="edit" aspectratio="f"/>
              </v:line>
            </w:pict>
          </mc:Fallback>
        </mc:AlternateContent>
      </w:r>
      <w:r>
        <w:rPr>
          <w:rFonts w:hint="default" w:ascii="Times New Roman" w:hAnsi="Times New Roman" w:eastAsia="黑体" w:cs="Times New Roman"/>
          <w:sz w:val="28"/>
          <w:lang w:val="en-US" w:eastAsia="zh-CN"/>
        </w:rPr>
        <w:t>202</w:t>
      </w:r>
      <w:r>
        <w:rPr>
          <w:rFonts w:hint="eastAsia" w:eastAsia="黑体" w:cs="Times New Roman"/>
          <w:sz w:val="28"/>
          <w:lang w:val="en-US" w:eastAsia="zh-CN"/>
        </w:rPr>
        <w:t>5</w:t>
      </w:r>
      <w:r>
        <w:rPr>
          <w:rFonts w:hint="default" w:ascii="Times New Roman" w:hAnsi="Times New Roman" w:eastAsia="黑体" w:cs="Times New Roman"/>
          <w:sz w:val="28"/>
          <w:lang w:val="en-US" w:eastAsia="zh-CN"/>
        </w:rPr>
        <w:t xml:space="preserve">-XX-XX发布                           </w:t>
      </w:r>
      <w:r>
        <w:rPr>
          <w:rFonts w:hint="eastAsia" w:eastAsia="黑体" w:cs="Times New Roman"/>
          <w:sz w:val="28"/>
          <w:lang w:val="en-US" w:eastAsia="zh-CN"/>
        </w:rPr>
        <w:t xml:space="preserve"> </w:t>
      </w:r>
      <w:r>
        <w:rPr>
          <w:rFonts w:hint="default" w:ascii="Times New Roman" w:hAnsi="Times New Roman" w:eastAsia="黑体" w:cs="Times New Roman"/>
          <w:sz w:val="28"/>
          <w:lang w:val="en-US" w:eastAsia="zh-CN"/>
        </w:rPr>
        <w:t>202</w:t>
      </w:r>
      <w:r>
        <w:rPr>
          <w:rFonts w:hint="eastAsia" w:eastAsia="黑体" w:cs="Times New Roman"/>
          <w:sz w:val="28"/>
          <w:lang w:val="en-US" w:eastAsia="zh-CN"/>
        </w:rPr>
        <w:t>5</w:t>
      </w:r>
      <w:r>
        <w:rPr>
          <w:rFonts w:hint="default" w:ascii="Times New Roman" w:hAnsi="Times New Roman" w:eastAsia="黑体" w:cs="Times New Roman"/>
          <w:sz w:val="28"/>
          <w:lang w:val="en-US" w:eastAsia="zh-CN"/>
        </w:rPr>
        <w:t>-XX-XX实施</w:t>
      </w:r>
    </w:p>
    <w:p w14:paraId="453B4A56">
      <w:pPr>
        <w:jc w:val="both"/>
        <w:rPr>
          <w:rFonts w:hint="default" w:ascii="Times New Roman" w:hAnsi="Times New Roman" w:eastAsia="黑体" w:cs="Times New Roman"/>
          <w:sz w:val="28"/>
          <w:lang w:val="en-US" w:eastAsia="zh-CN"/>
        </w:rPr>
      </w:pPr>
    </w:p>
    <w:p w14:paraId="56FC1281">
      <w:pPr>
        <w:jc w:val="center"/>
        <w:rPr>
          <w:rFonts w:hint="default" w:ascii="Times New Roman" w:hAnsi="Times New Roman" w:eastAsia="黑体" w:cs="Times New Roman"/>
          <w:sz w:val="28"/>
          <w:lang w:val="en-US" w:eastAsia="zh-CN"/>
        </w:rPr>
      </w:pPr>
      <w:r>
        <w:rPr>
          <w:rFonts w:hint="eastAsia" w:eastAsia="黑体" w:cs="Times New Roman"/>
          <w:sz w:val="28"/>
          <w:lang w:val="en-US" w:eastAsia="zh-CN"/>
        </w:rPr>
        <w:t xml:space="preserve">中国生物材料学会 </w:t>
      </w:r>
      <w:r>
        <w:rPr>
          <w:rFonts w:hint="default" w:ascii="Times New Roman" w:hAnsi="Times New Roman" w:eastAsia="黑体" w:cs="Times New Roman"/>
          <w:sz w:val="28"/>
          <w:lang w:val="en-US" w:eastAsia="zh-CN"/>
        </w:rPr>
        <w:t>发</w:t>
      </w:r>
      <w:r>
        <w:rPr>
          <w:rFonts w:hint="eastAsia" w:eastAsia="黑体" w:cs="Times New Roman"/>
          <w:sz w:val="28"/>
          <w:lang w:val="en-US" w:eastAsia="zh-CN"/>
        </w:rPr>
        <w:t xml:space="preserve">  </w:t>
      </w:r>
      <w:r>
        <w:rPr>
          <w:rFonts w:hint="default" w:ascii="Times New Roman" w:hAnsi="Times New Roman" w:eastAsia="黑体" w:cs="Times New Roman"/>
          <w:sz w:val="28"/>
          <w:lang w:val="en-US" w:eastAsia="zh-CN"/>
        </w:rPr>
        <w:t>布</w:t>
      </w:r>
    </w:p>
    <w:p w14:paraId="04D5B8C5">
      <w:pPr>
        <w:pStyle w:val="9"/>
        <w:numPr>
          <w:ilvl w:val="0"/>
          <w:numId w:val="0"/>
        </w:numPr>
        <w:spacing w:after="468"/>
        <w:ind w:leftChars="0"/>
        <w:jc w:val="center"/>
        <w:rPr>
          <w:color w:val="000000" w:themeColor="text1"/>
          <w:spacing w:val="320"/>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0" w:name="_Toc151716220"/>
      <w:bookmarkStart w:id="1" w:name="_Toc183094656"/>
    </w:p>
    <w:p w14:paraId="6B5D24BF">
      <w:pPr>
        <w:pStyle w:val="9"/>
        <w:numPr>
          <w:ilvl w:val="0"/>
          <w:numId w:val="0"/>
        </w:numPr>
        <w:spacing w:after="468"/>
        <w:ind w:leftChars="0"/>
        <w:jc w:val="center"/>
        <w:rPr>
          <w:color w:val="000000" w:themeColor="text1"/>
          <w14:textFill>
            <w14:solidFill>
              <w14:schemeClr w14:val="tx1"/>
            </w14:solidFill>
          </w14:textFill>
        </w:rPr>
      </w:pPr>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0"/>
      <w:bookmarkEnd w:id="1"/>
    </w:p>
    <w:p w14:paraId="4F3F41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本文件按照GB/T 1.1—2020《标准化工作导则  第1部分：标准化文件的结构和起草规则》的规定起草。</w:t>
      </w:r>
    </w:p>
    <w:p w14:paraId="55210B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请注意本文件的某些内容可能涉及专利。本文件的发布机构不承担识别专利的责任。</w:t>
      </w:r>
    </w:p>
    <w:p w14:paraId="1946A8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本文件由中国生物材料学会提出。</w:t>
      </w:r>
    </w:p>
    <w:p w14:paraId="0F5033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本文件由中国生物材料学会</w:t>
      </w:r>
      <w:r>
        <w:rPr>
          <w:rFonts w:hint="eastAsia" w:ascii="宋体" w:hAnsi="宋体" w:eastAsia="宋体" w:cs="宋体"/>
          <w:lang w:val="en-US" w:eastAsia="zh-CN"/>
        </w:rPr>
        <w:t>标准工作委员会</w:t>
      </w:r>
      <w:r>
        <w:rPr>
          <w:rFonts w:hint="eastAsia" w:ascii="宋体" w:hAnsi="宋体" w:eastAsia="宋体" w:cs="宋体"/>
        </w:rPr>
        <w:t>归口。</w:t>
      </w:r>
    </w:p>
    <w:p w14:paraId="3BA21A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eastAsia="zh-CN"/>
        </w:rPr>
      </w:pPr>
      <w:r>
        <w:rPr>
          <w:rFonts w:hint="eastAsia" w:ascii="宋体" w:hAnsi="宋体" w:eastAsia="宋体" w:cs="宋体"/>
        </w:rPr>
        <w:t>本文件起草单位：华南理工大学</w:t>
      </w:r>
      <w:r>
        <w:rPr>
          <w:rFonts w:hint="eastAsia" w:ascii="宋体" w:hAnsi="宋体" w:eastAsia="宋体" w:cs="宋体"/>
          <w:lang w:eastAsia="zh-CN"/>
        </w:rPr>
        <w:t>、</w:t>
      </w:r>
      <w:r>
        <w:rPr>
          <w:rFonts w:hint="eastAsia" w:ascii="宋体" w:hAnsi="宋体" w:eastAsia="宋体" w:cs="宋体"/>
        </w:rPr>
        <w:t>新型生物材料与高端医疗器械广东研究院</w:t>
      </w:r>
      <w:r>
        <w:rPr>
          <w:rFonts w:hint="eastAsia" w:ascii="宋体" w:hAnsi="宋体" w:eastAsia="宋体" w:cs="宋体"/>
          <w:lang w:eastAsia="zh-CN"/>
        </w:rPr>
        <w:t>、</w:t>
      </w:r>
      <w:r>
        <w:rPr>
          <w:rFonts w:hint="eastAsia" w:ascii="宋体" w:hAnsi="宋体" w:eastAsia="宋体" w:cs="宋体"/>
        </w:rPr>
        <w:t>广东省医疗器械质量监督检验所</w:t>
      </w:r>
      <w:r>
        <w:rPr>
          <w:rFonts w:hint="eastAsia" w:ascii="宋体" w:hAnsi="宋体" w:eastAsia="宋体" w:cs="宋体"/>
          <w:lang w:eastAsia="zh-CN"/>
        </w:rPr>
        <w:t>、</w:t>
      </w:r>
      <w:r>
        <w:rPr>
          <w:rFonts w:hint="eastAsia" w:ascii="宋体" w:hAnsi="宋体" w:eastAsia="宋体" w:cs="宋体"/>
        </w:rPr>
        <w:t>广州科睿生物医药技术有限公司</w:t>
      </w:r>
      <w:r>
        <w:rPr>
          <w:rFonts w:hint="eastAsia" w:ascii="宋体" w:hAnsi="宋体" w:eastAsia="宋体" w:cs="宋体"/>
          <w:lang w:eastAsia="zh-CN"/>
        </w:rPr>
        <w:t>、</w:t>
      </w:r>
      <w:r>
        <w:rPr>
          <w:rFonts w:hint="eastAsia" w:ascii="宋体" w:hAnsi="宋体" w:eastAsia="宋体" w:cs="宋体"/>
        </w:rPr>
        <w:t>沈阳沈化院测试技术有限公司</w:t>
      </w:r>
      <w:r>
        <w:rPr>
          <w:rFonts w:hint="eastAsia" w:ascii="宋体" w:hAnsi="宋体" w:eastAsia="宋体" w:cs="宋体"/>
          <w:lang w:eastAsia="zh-CN"/>
        </w:rPr>
        <w:t>、</w:t>
      </w:r>
      <w:r>
        <w:rPr>
          <w:rFonts w:hint="eastAsia" w:ascii="宋体" w:hAnsi="宋体" w:eastAsia="宋体" w:cs="宋体"/>
        </w:rPr>
        <w:t>中国食品药品检定研究院</w:t>
      </w:r>
      <w:r>
        <w:rPr>
          <w:rFonts w:hint="eastAsia" w:ascii="宋体" w:hAnsi="宋体" w:eastAsia="宋体" w:cs="宋体"/>
          <w:lang w:eastAsia="zh-CN"/>
        </w:rPr>
        <w:t>。</w:t>
      </w:r>
    </w:p>
    <w:p w14:paraId="2F5B09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宋体" w:hAnsi="宋体" w:eastAsia="宋体" w:cs="宋体"/>
          <w:highlight w:val="none"/>
        </w:rPr>
        <w:t>本文件主要起草人：</w:t>
      </w:r>
      <w:r>
        <w:rPr>
          <w:rFonts w:hint="eastAsia" w:ascii="宋体" w:hAnsi="宋体" w:eastAsia="宋体" w:cs="宋体"/>
          <w:highlight w:val="none"/>
          <w:lang w:val="en-US" w:eastAsia="zh-CN"/>
        </w:rPr>
        <w:t>黄黎珍、胡相华、郝丽静、张炫、桑晶、万延斌</w:t>
      </w:r>
      <w:r>
        <w:rPr>
          <w:rFonts w:hint="eastAsia" w:ascii="宋体" w:hAnsi="宋体" w:eastAsia="宋体" w:cs="宋体"/>
          <w:highlight w:val="none"/>
        </w:rPr>
        <w:t>。</w:t>
      </w:r>
    </w:p>
    <w:p w14:paraId="310F0645">
      <w:pPr>
        <w:pStyle w:val="9"/>
        <w:numPr>
          <w:ilvl w:val="0"/>
          <w:numId w:val="0"/>
        </w:numPr>
        <w:spacing w:after="468"/>
        <w:ind w:leftChars="0"/>
        <w:jc w:val="center"/>
        <w:rPr>
          <w:color w:val="000000" w:themeColor="text1"/>
          <w14:textFill>
            <w14:solidFill>
              <w14:schemeClr w14:val="tx1"/>
            </w14:solidFill>
          </w14:textFill>
        </w:rPr>
      </w:pPr>
      <w:bookmarkStart w:id="2" w:name="_Toc151716221"/>
      <w:bookmarkStart w:id="3" w:name="_Toc151122936"/>
      <w:bookmarkStart w:id="4" w:name="_Toc149829061"/>
      <w:bookmarkStart w:id="5" w:name="_Toc183094657"/>
      <w:r>
        <w:rPr>
          <w:color w:val="000000" w:themeColor="text1"/>
          <w:spacing w:val="320"/>
          <w14:textFill>
            <w14:solidFill>
              <w14:schemeClr w14:val="tx1"/>
            </w14:solidFill>
          </w14:textFill>
        </w:rPr>
        <w:t>引</w:t>
      </w:r>
      <w:r>
        <w:rPr>
          <w:color w:val="000000" w:themeColor="text1"/>
          <w14:textFill>
            <w14:solidFill>
              <w14:schemeClr w14:val="tx1"/>
            </w14:solidFill>
          </w14:textFill>
        </w:rPr>
        <w:t>言</w:t>
      </w:r>
      <w:bookmarkEnd w:id="2"/>
      <w:bookmarkEnd w:id="3"/>
      <w:bookmarkEnd w:id="4"/>
      <w:bookmarkEnd w:id="5"/>
    </w:p>
    <w:p w14:paraId="2B0175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医疗器械的皮肤致敏性评价是其安全性评估的重要组成部分。长期以来，动物实验是主流评价方式，但其在种属差异和3R原则背景下的局限性愈发突出。鉴于此，开发和应用基于人体细胞的皮肤致敏体外评价方法已成为国内外研究的焦点和发展趋势。随着转化毒理学和替代毒性测试技术的进步，毒性测试方法体系不断拓宽，引入了众多新的毒理学终点。然而，在实际应用中，体外毒理学测试方法常面临着类似或优化方法的开发与验证难题。</w:t>
      </w:r>
    </w:p>
    <w:p w14:paraId="1FF48A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lang w:val="en-US" w:eastAsia="zh-CN"/>
        </w:rPr>
        <w:t>本文件旨在规范并指导基于ARE-Nrf2荧光素酶的皮肤致敏体外细胞试验方法在原材料皮肤致敏性评价中的应用。</w:t>
      </w:r>
    </w:p>
    <w:p w14:paraId="2724243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宋体"/>
          <w:bCs/>
          <w:kern w:val="0"/>
          <w:sz w:val="32"/>
          <w:szCs w:val="28"/>
        </w:rPr>
      </w:pPr>
      <w:r>
        <w:rPr>
          <w:rFonts w:hint="eastAsia" w:ascii="黑体" w:hAnsi="黑体" w:eastAsia="黑体" w:cs="宋体"/>
          <w:bCs/>
          <w:kern w:val="0"/>
          <w:sz w:val="32"/>
          <w:szCs w:val="28"/>
        </w:rPr>
        <w:t>基于ARE-Nrf2荧光素酶的皮肤致敏体外细胞试验方法</w:t>
      </w:r>
    </w:p>
    <w:p w14:paraId="6BEA911D">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宋体"/>
          <w:bCs/>
          <w:kern w:val="0"/>
          <w:sz w:val="21"/>
          <w:szCs w:val="21"/>
          <w:lang w:val="en-US" w:eastAsia="zh-CN"/>
        </w:rPr>
      </w:pPr>
      <w:r>
        <w:rPr>
          <w:rFonts w:hint="eastAsia" w:ascii="黑体" w:hAnsi="黑体" w:eastAsia="黑体" w:cs="宋体"/>
          <w:bCs/>
          <w:kern w:val="0"/>
          <w:sz w:val="21"/>
          <w:szCs w:val="21"/>
          <w:lang w:val="en-US" w:eastAsia="zh-CN"/>
        </w:rPr>
        <w:t>1 范围</w:t>
      </w:r>
    </w:p>
    <w:p w14:paraId="39BAA68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本文件提供了基于ARE-Nrf2荧光素酶的皮肤致敏体外细胞试验的基本原则、方法的开发和优化、方法确立的指南。</w:t>
      </w:r>
    </w:p>
    <w:p w14:paraId="750B26F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本文件适用于基于ARE-Nrf2荧光素酶的原材料皮肤致敏体外细胞试验标准方法的类似或优化方法的开发、验证和实施。</w:t>
      </w:r>
    </w:p>
    <w:p w14:paraId="3F1826D9">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2 规范性引用文件</w:t>
      </w:r>
    </w:p>
    <w:p w14:paraId="096D731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本文件没有规范性引用文件。</w:t>
      </w:r>
    </w:p>
    <w:p w14:paraId="0B8E5B8A">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3 术语和定义</w:t>
      </w:r>
    </w:p>
    <w:p w14:paraId="10B9FBE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下列术语和定义适用于本文件。</w:t>
      </w:r>
    </w:p>
    <w:p w14:paraId="2136A290">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3.1</w:t>
      </w:r>
    </w:p>
    <w:p w14:paraId="69311EC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可接受标准 Acceptance criteria</w:t>
      </w:r>
    </w:p>
    <w:p w14:paraId="6A5963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一组明确定义的参数，用于评估研究结果是否可被接受，并描述体外方法的特定特征。</w:t>
      </w:r>
    </w:p>
    <w:p w14:paraId="2710846E">
      <w:pPr>
        <w:keepNext w:val="0"/>
        <w:keepLines w:val="0"/>
        <w:pageBreakBefore w:val="0"/>
        <w:widowControl w:val="0"/>
        <w:kinsoku/>
        <w:wordWrap/>
        <w:overflowPunct/>
        <w:topLinePunct w:val="0"/>
        <w:autoSpaceDE/>
        <w:autoSpaceDN/>
        <w:bidi w:val="0"/>
        <w:adjustRightInd/>
        <w:snapToGrid/>
        <w:ind w:firstLine="360" w:firstLineChars="200"/>
        <w:jc w:val="both"/>
        <w:textAlignment w:val="auto"/>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可接受标准应作为体外方法的重要组成部分进行详细规定，涵盖测试系统（例如，细胞传代次数、生长曲线）、其性能（例如，阳性对照、阴性对照、溶剂对照）的定义，以及分析终点的确定值（如线性、准确性、范围）和数据分析方法（如线性拟合）。</w:t>
      </w:r>
    </w:p>
    <w:p w14:paraId="0BD46A0D">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3.2</w:t>
      </w:r>
    </w:p>
    <w:p w14:paraId="6E5A7BD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一致性Concordance</w:t>
      </w:r>
    </w:p>
    <w:p w14:paraId="7D1613D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衡量测试方法性能的指标，用于评估该方法产生分类一致结果的能力。</w:t>
      </w:r>
    </w:p>
    <w:p w14:paraId="51B86BF0">
      <w:pPr>
        <w:keepNext w:val="0"/>
        <w:keepLines w:val="0"/>
        <w:pageBreakBefore w:val="0"/>
        <w:widowControl w:val="0"/>
        <w:kinsoku/>
        <w:wordWrap/>
        <w:overflowPunct/>
        <w:topLinePunct w:val="0"/>
        <w:autoSpaceDE/>
        <w:autoSpaceDN/>
        <w:bidi w:val="0"/>
        <w:adjustRightInd/>
        <w:snapToGrid/>
        <w:ind w:firstLine="360" w:firstLineChars="200"/>
        <w:jc w:val="both"/>
        <w:textAlignment w:val="auto"/>
        <w:rPr>
          <w:rFonts w:hint="eastAsia" w:ascii="宋体" w:hAnsi="宋体" w:eastAsia="宋体" w:cs="宋体"/>
          <w:sz w:val="18"/>
          <w:szCs w:val="18"/>
          <w:lang w:val="en-US" w:eastAsia="zh-CN"/>
        </w:rPr>
      </w:pPr>
      <w:r>
        <w:rPr>
          <w:rFonts w:hint="default" w:ascii="黑体" w:hAnsi="黑体" w:eastAsia="黑体" w:cs="黑体"/>
          <w:sz w:val="18"/>
          <w:szCs w:val="18"/>
          <w:lang w:val="en-US" w:eastAsia="zh-CN"/>
        </w:rPr>
        <w:t>注：</w:t>
      </w:r>
      <w:r>
        <w:rPr>
          <w:rFonts w:hint="eastAsia" w:ascii="宋体" w:hAnsi="宋体" w:eastAsia="宋体" w:cs="宋体"/>
          <w:sz w:val="18"/>
          <w:szCs w:val="18"/>
          <w:lang w:val="en-US" w:eastAsia="zh-CN"/>
        </w:rPr>
        <w:t>在某些语境下，一致性可与准确性互换使用。</w:t>
      </w:r>
    </w:p>
    <w:p w14:paraId="4680645F">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3.3</w:t>
      </w:r>
    </w:p>
    <w:p w14:paraId="2B92D5E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再现性Reproducibility</w:t>
      </w:r>
    </w:p>
    <w:p w14:paraId="78BBE7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eastAsia" w:ascii="宋体" w:hAnsi="宋体" w:eastAsia="宋体" w:cs="宋体"/>
          <w:lang w:val="en-US" w:eastAsia="zh-CN"/>
        </w:rPr>
        <w:t>指</w:t>
      </w:r>
      <w:r>
        <w:rPr>
          <w:rFonts w:hint="default" w:ascii="宋体" w:hAnsi="宋体" w:eastAsia="宋体" w:cs="宋体"/>
          <w:lang w:val="en-US" w:eastAsia="zh-CN"/>
        </w:rPr>
        <w:t>采用相同测试方案</w:t>
      </w:r>
      <w:r>
        <w:rPr>
          <w:rFonts w:hint="eastAsia" w:ascii="宋体" w:hAnsi="宋体" w:eastAsia="宋体" w:cs="宋体"/>
          <w:lang w:val="en-US" w:eastAsia="zh-CN"/>
        </w:rPr>
        <w:t>对</w:t>
      </w:r>
      <w:r>
        <w:rPr>
          <w:rFonts w:hint="default" w:ascii="宋体" w:hAnsi="宋体" w:eastAsia="宋体" w:cs="宋体"/>
          <w:lang w:val="en-US" w:eastAsia="zh-CN"/>
        </w:rPr>
        <w:t>相同物质</w:t>
      </w:r>
      <w:r>
        <w:rPr>
          <w:rFonts w:hint="eastAsia" w:ascii="宋体" w:hAnsi="宋体" w:eastAsia="宋体" w:cs="宋体"/>
          <w:lang w:val="en-US" w:eastAsia="zh-CN"/>
        </w:rPr>
        <w:t>进行测试所</w:t>
      </w:r>
      <w:r>
        <w:rPr>
          <w:rFonts w:hint="default" w:ascii="宋体" w:hAnsi="宋体" w:eastAsia="宋体" w:cs="宋体"/>
          <w:lang w:val="en-US" w:eastAsia="zh-CN"/>
        </w:rPr>
        <w:t>获得结果之间的一致性。</w:t>
      </w:r>
    </w:p>
    <w:p w14:paraId="65122092">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3.4</w:t>
      </w:r>
    </w:p>
    <w:p w14:paraId="4D759A6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准确性Accuracy</w:t>
      </w:r>
    </w:p>
    <w:p w14:paraId="64BE228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检测值与标准值或已知</w:t>
      </w:r>
      <w:r>
        <w:rPr>
          <w:rFonts w:hint="eastAsia" w:ascii="宋体" w:hAnsi="宋体" w:eastAsia="宋体" w:cs="宋体"/>
          <w:lang w:val="en-US" w:eastAsia="zh-CN"/>
        </w:rPr>
        <w:t>真</w:t>
      </w:r>
      <w:r>
        <w:rPr>
          <w:rFonts w:hint="default" w:ascii="宋体" w:hAnsi="宋体" w:eastAsia="宋体" w:cs="宋体"/>
          <w:lang w:val="en-US" w:eastAsia="zh-CN"/>
        </w:rPr>
        <w:t>值</w:t>
      </w:r>
      <w:r>
        <w:rPr>
          <w:rFonts w:hint="eastAsia" w:ascii="宋体" w:hAnsi="宋体" w:eastAsia="宋体" w:cs="宋体"/>
          <w:lang w:val="en-US" w:eastAsia="zh-CN"/>
        </w:rPr>
        <w:t>之间</w:t>
      </w:r>
      <w:r>
        <w:rPr>
          <w:rFonts w:hint="default" w:ascii="宋体" w:hAnsi="宋体" w:eastAsia="宋体" w:cs="宋体"/>
          <w:lang w:val="en-US" w:eastAsia="zh-CN"/>
        </w:rPr>
        <w:t>的接近程度。</w:t>
      </w:r>
    </w:p>
    <w:p w14:paraId="29663098">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3.5</w:t>
      </w:r>
    </w:p>
    <w:p w14:paraId="606FBED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黑体" w:hAnsi="黑体" w:eastAsia="黑体" w:cs="黑体"/>
          <w:lang w:val="en-US" w:eastAsia="zh-CN"/>
        </w:rPr>
        <w:t>可靠性Reliability</w:t>
      </w:r>
    </w:p>
    <w:p w14:paraId="4A7B9A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指在规定条件下，某程序在实验室内、实验室之间以及随时间推移，能够重复执行并持续获得可接受结果的能力。</w:t>
      </w:r>
    </w:p>
    <w:p w14:paraId="0A20EE40">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3.6</w:t>
      </w:r>
    </w:p>
    <w:p w14:paraId="7C5E26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灵敏度Sensitivity</w:t>
      </w:r>
    </w:p>
    <w:p w14:paraId="0024E5F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体外方法性能的衡量指标</w:t>
      </w:r>
      <w:r>
        <w:rPr>
          <w:rFonts w:hint="eastAsia" w:ascii="宋体" w:hAnsi="宋体" w:eastAsia="宋体" w:cs="宋体"/>
          <w:lang w:val="en-US" w:eastAsia="zh-CN"/>
        </w:rPr>
        <w:t>之一</w:t>
      </w:r>
      <w:r>
        <w:rPr>
          <w:rFonts w:hint="default" w:ascii="宋体" w:hAnsi="宋体" w:eastAsia="宋体" w:cs="宋体"/>
          <w:lang w:val="en-US" w:eastAsia="zh-CN"/>
        </w:rPr>
        <w:t>，表示所有</w:t>
      </w:r>
      <w:r>
        <w:rPr>
          <w:rFonts w:hint="eastAsia" w:ascii="宋体" w:hAnsi="宋体" w:eastAsia="宋体" w:cs="宋体"/>
          <w:lang w:val="en-US" w:eastAsia="zh-CN"/>
        </w:rPr>
        <w:t>被</w:t>
      </w:r>
      <w:r>
        <w:rPr>
          <w:rFonts w:hint="default" w:ascii="宋体" w:hAnsi="宋体" w:eastAsia="宋体" w:cs="宋体"/>
          <w:lang w:val="en-US" w:eastAsia="zh-CN"/>
        </w:rPr>
        <w:t>评估的</w:t>
      </w:r>
      <w:r>
        <w:rPr>
          <w:rFonts w:hint="eastAsia" w:ascii="宋体" w:hAnsi="宋体" w:eastAsia="宋体" w:cs="宋体"/>
          <w:lang w:val="en-US" w:eastAsia="zh-CN"/>
        </w:rPr>
        <w:t>阳性</w:t>
      </w:r>
      <w:r>
        <w:rPr>
          <w:rFonts w:hint="default" w:ascii="宋体" w:hAnsi="宋体" w:eastAsia="宋体" w:cs="宋体"/>
          <w:lang w:val="en-US" w:eastAsia="zh-CN"/>
        </w:rPr>
        <w:t>测试物在特定毒理学终点被正确</w:t>
      </w:r>
      <w:r>
        <w:rPr>
          <w:rFonts w:hint="eastAsia" w:ascii="宋体" w:hAnsi="宋体" w:eastAsia="宋体" w:cs="宋体"/>
          <w:lang w:val="en-US" w:eastAsia="zh-CN"/>
        </w:rPr>
        <w:t>识别为</w:t>
      </w:r>
      <w:r>
        <w:rPr>
          <w:rFonts w:hint="default" w:ascii="宋体" w:hAnsi="宋体" w:eastAsia="宋体" w:cs="宋体"/>
          <w:lang w:val="en-US" w:eastAsia="zh-CN"/>
        </w:rPr>
        <w:t>阳性的比例。</w:t>
      </w:r>
    </w:p>
    <w:p w14:paraId="16192791">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3.7</w:t>
      </w:r>
    </w:p>
    <w:p w14:paraId="2BFE527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特异性specificity</w:t>
      </w:r>
    </w:p>
    <w:p w14:paraId="493AE79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体外方法性能的衡量指标之一，表示所有被评估的阴性测试物在特定毒理学终点被正确识别为阴性的比例。</w:t>
      </w:r>
    </w:p>
    <w:p w14:paraId="0359B147">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3.8</w:t>
      </w:r>
    </w:p>
    <w:p w14:paraId="7764903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相关性 Relevance</w:t>
      </w:r>
    </w:p>
    <w:p w14:paraId="438D90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指</w:t>
      </w:r>
      <w:r>
        <w:rPr>
          <w:rFonts w:hint="eastAsia" w:ascii="宋体" w:hAnsi="宋体" w:eastAsia="宋体" w:cs="宋体"/>
          <w:lang w:val="en-US" w:eastAsia="zh-CN"/>
        </w:rPr>
        <w:t>某</w:t>
      </w:r>
      <w:r>
        <w:rPr>
          <w:rFonts w:hint="default" w:ascii="宋体" w:hAnsi="宋体" w:eastAsia="宋体" w:cs="宋体"/>
          <w:lang w:val="en-US" w:eastAsia="zh-CN"/>
        </w:rPr>
        <w:t>程序对于特定目的</w:t>
      </w:r>
      <w:r>
        <w:rPr>
          <w:rFonts w:hint="eastAsia" w:ascii="宋体" w:hAnsi="宋体" w:eastAsia="宋体" w:cs="宋体"/>
          <w:lang w:val="en-US" w:eastAsia="zh-CN"/>
        </w:rPr>
        <w:t>而言，其</w:t>
      </w:r>
      <w:r>
        <w:rPr>
          <w:rFonts w:hint="default" w:ascii="宋体" w:hAnsi="宋体" w:eastAsia="宋体" w:cs="宋体"/>
          <w:lang w:val="en-US" w:eastAsia="zh-CN"/>
        </w:rPr>
        <w:t>意义和</w:t>
      </w:r>
      <w:r>
        <w:rPr>
          <w:rFonts w:hint="eastAsia" w:ascii="宋体" w:hAnsi="宋体" w:eastAsia="宋体" w:cs="宋体"/>
          <w:lang w:val="en-US" w:eastAsia="zh-CN"/>
        </w:rPr>
        <w:t>实用性</w:t>
      </w:r>
      <w:r>
        <w:rPr>
          <w:rFonts w:hint="default" w:ascii="宋体" w:hAnsi="宋体" w:eastAsia="宋体" w:cs="宋体"/>
          <w:lang w:val="en-US" w:eastAsia="zh-CN"/>
        </w:rPr>
        <w:t>。</w:t>
      </w:r>
    </w:p>
    <w:p w14:paraId="2F023F32">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3.9</w:t>
      </w:r>
    </w:p>
    <w:p w14:paraId="4C2B29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细胞毒性 Cytotoxicity</w:t>
      </w:r>
    </w:p>
    <w:p w14:paraId="5552A04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对机体所有细胞共有的结构和功能产生的毒性作用，例如对DNA、染色体、线粒体、细胞骨架和各种膜的影响。也称为一般细胞毒性或基础细胞毒性。</w:t>
      </w:r>
    </w:p>
    <w:p w14:paraId="30B50B97">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3.10</w:t>
      </w:r>
    </w:p>
    <w:p w14:paraId="61547A6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阳性对照 Positive control</w:t>
      </w:r>
    </w:p>
    <w:p w14:paraId="127E2EC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在测试系统中，使用已知能引起预期反应的物质进行处理的单独部分，用于证明测试系统在实际测试条件下能够产生特异性响应。</w:t>
      </w:r>
    </w:p>
    <w:p w14:paraId="4C73E4A0">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lang w:val="en-US" w:eastAsia="zh-CN"/>
        </w:rPr>
      </w:pPr>
      <w:r>
        <w:rPr>
          <w:rFonts w:hint="eastAsia" w:ascii="黑体" w:hAnsi="黑体" w:eastAsia="黑体" w:cs="黑体"/>
          <w:lang w:val="en-US" w:eastAsia="zh-CN"/>
        </w:rPr>
        <w:t>3.11</w:t>
      </w:r>
      <w:r>
        <w:rPr>
          <w:rFonts w:hint="default" w:ascii="宋体" w:hAnsi="宋体" w:eastAsia="宋体" w:cs="宋体"/>
          <w:lang w:val="en-US" w:eastAsia="zh-CN"/>
        </w:rPr>
        <w:t xml:space="preserve"> </w:t>
      </w:r>
    </w:p>
    <w:p w14:paraId="5495315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阴性对照 Negative control</w:t>
      </w:r>
    </w:p>
    <w:p w14:paraId="4DED6F5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在测试系统中，使用已知不会引起预期反应的物质或条件进行处理的单独部分，用于评估实验过程中是否存在非特异性反应、背景信号或假阳性结果。</w:t>
      </w:r>
    </w:p>
    <w:p w14:paraId="3481C8D2">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3.12</w:t>
      </w:r>
    </w:p>
    <w:p w14:paraId="76B9CCE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性能标准 Performance Standards</w:t>
      </w:r>
      <w:r>
        <w:rPr>
          <w:rFonts w:hint="eastAsia" w:ascii="黑体" w:hAnsi="黑体" w:eastAsia="黑体" w:cs="黑体"/>
          <w:lang w:val="en-US" w:eastAsia="zh-CN"/>
        </w:rPr>
        <w:t>，PS</w:t>
      </w:r>
    </w:p>
    <w:p w14:paraId="5F079EA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针对类似或改进体外方法设定的具体参数要求，旨在证明其对于特定目的具有足够的可靠性和相关性，从而符合体外方法验证的原则。</w:t>
      </w:r>
    </w:p>
    <w:p w14:paraId="7F79FE66">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3.13</w:t>
      </w:r>
    </w:p>
    <w:p w14:paraId="514A76C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变异系数</w:t>
      </w:r>
      <w:r>
        <w:rPr>
          <w:rFonts w:hint="eastAsia" w:ascii="黑体" w:hAnsi="黑体" w:eastAsia="黑体" w:cs="黑体"/>
          <w:lang w:val="en-US" w:eastAsia="zh-CN"/>
        </w:rPr>
        <w:t xml:space="preserve"> Coefficient of Variation，CV</w:t>
      </w:r>
    </w:p>
    <w:p w14:paraId="183E31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衡量一组复制数据变异程度的统计量，通过将标准差除以平均值计算得出。通常以百分比表示（即结果乘以100%）。</w:t>
      </w:r>
    </w:p>
    <w:p w14:paraId="49E59C87">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3.14</w:t>
      </w:r>
    </w:p>
    <w:p w14:paraId="700928B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半数抑制浓度half maximal inhibitory concentration，IC50</w:t>
      </w:r>
    </w:p>
    <w:p w14:paraId="2006230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在固定暴露时间内，使细胞活力降低50%所需的测试化学品浓度，通常通过估算得出。</w:t>
      </w:r>
    </w:p>
    <w:p w14:paraId="7DA770A1">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3.15</w:t>
      </w:r>
    </w:p>
    <w:p w14:paraId="605D4F8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 xml:space="preserve">1.5倍插值浓度 Interpolated concentration resulting in a 1.5 fold luciferase induction, EC1.5 </w:t>
      </w:r>
    </w:p>
    <w:p w14:paraId="13166C3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引起荧光素酶基因诱导表达达到1.5倍时的受试物浓度。</w:t>
      </w:r>
    </w:p>
    <w:p w14:paraId="7AA33F45">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3.16</w:t>
      </w:r>
    </w:p>
    <w:p w14:paraId="29B396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细胞活性Cell viability</w:t>
      </w:r>
    </w:p>
    <w:p w14:paraId="0DFF653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测量细胞群</w:t>
      </w:r>
      <w:r>
        <w:rPr>
          <w:rFonts w:hint="eastAsia" w:ascii="宋体" w:hAnsi="宋体" w:eastAsia="宋体" w:cs="宋体"/>
          <w:lang w:val="en-US" w:eastAsia="zh-CN"/>
        </w:rPr>
        <w:t>整体生理状态和</w:t>
      </w:r>
      <w:r>
        <w:rPr>
          <w:rFonts w:hint="default" w:ascii="宋体" w:hAnsi="宋体" w:eastAsia="宋体" w:cs="宋体"/>
          <w:lang w:val="en-US" w:eastAsia="zh-CN"/>
        </w:rPr>
        <w:t>活性的参数。</w:t>
      </w:r>
    </w:p>
    <w:p w14:paraId="38F15390">
      <w:pPr>
        <w:keepNext w:val="0"/>
        <w:keepLines w:val="0"/>
        <w:pageBreakBefore w:val="0"/>
        <w:widowControl w:val="0"/>
        <w:kinsoku/>
        <w:wordWrap/>
        <w:overflowPunct/>
        <w:topLinePunct w:val="0"/>
        <w:autoSpaceDE/>
        <w:autoSpaceDN/>
        <w:bidi w:val="0"/>
        <w:adjustRightInd/>
        <w:snapToGrid/>
        <w:ind w:firstLine="360" w:firstLineChars="200"/>
        <w:jc w:val="both"/>
        <w:textAlignment w:val="auto"/>
        <w:rPr>
          <w:rFonts w:hint="eastAsia" w:ascii="宋体" w:hAnsi="宋体" w:eastAsia="宋体" w:cs="宋体"/>
          <w:sz w:val="18"/>
          <w:szCs w:val="18"/>
          <w:lang w:val="en-US" w:eastAsia="zh-CN"/>
        </w:rPr>
      </w:pPr>
      <w:r>
        <w:rPr>
          <w:rFonts w:hint="default" w:ascii="黑体" w:hAnsi="黑体" w:eastAsia="黑体" w:cs="黑体"/>
          <w:sz w:val="18"/>
          <w:szCs w:val="18"/>
          <w:lang w:val="en-US" w:eastAsia="zh-CN"/>
        </w:rPr>
        <w:t>注：</w:t>
      </w:r>
      <w:r>
        <w:rPr>
          <w:rFonts w:hint="eastAsia" w:ascii="宋体" w:hAnsi="宋体" w:eastAsia="宋体" w:cs="宋体"/>
          <w:sz w:val="18"/>
          <w:szCs w:val="18"/>
          <w:lang w:val="en-US" w:eastAsia="zh-CN"/>
        </w:rPr>
        <w:t>细胞活性的评估方法和终点多样，例如通过检测细胞线粒体脱氢酶还原活性（如MTT法）来反映细胞的代谢活性，其结果通常与细胞总数量相关。</w:t>
      </w:r>
    </w:p>
    <w:p w14:paraId="726940D7">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3.17</w:t>
      </w:r>
    </w:p>
    <w:p w14:paraId="189A1AA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完整测试序列Complete test sequence</w:t>
      </w:r>
    </w:p>
    <w:p w14:paraId="144DF9B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指包含至少3个合格测试的测试批次。不符合此条件的测试批次视为不完整的测试。</w:t>
      </w:r>
    </w:p>
    <w:p w14:paraId="5AFE2152">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3.18</w:t>
      </w:r>
    </w:p>
    <w:p w14:paraId="3ABA282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半数效应时间half maximal effective time，ET50</w:t>
      </w:r>
    </w:p>
    <w:p w14:paraId="0E86BFB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通过应用参考化学品在指定的和固定的浓度下，测定细胞活力降低50%所需要的暴露时间进行估算。</w:t>
      </w:r>
    </w:p>
    <w:p w14:paraId="78B6403D">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3.19</w:t>
      </w:r>
    </w:p>
    <w:p w14:paraId="5D65F69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合格的运行Qualified run</w:t>
      </w:r>
    </w:p>
    <w:p w14:paraId="7B05BC0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一次运行符合方法的阳性对照和阴性对照的可接受标准，符合相应的标准操作规程（SOP）设定的要求；否则被视为不合格的运行。</w:t>
      </w:r>
    </w:p>
    <w:p w14:paraId="4D94E7EF">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3.20</w:t>
      </w:r>
    </w:p>
    <w:p w14:paraId="3713EB2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合格的测试Qualified test</w:t>
      </w:r>
    </w:p>
    <w:p w14:paraId="02295CA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在一个合格的运行内，一次测试符合测试规定的可接受标准，符合相应的SOP设定的要求，否则被视为不合格的测试。</w:t>
      </w:r>
    </w:p>
    <w:p w14:paraId="1A3C71F2">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3.21</w:t>
      </w:r>
    </w:p>
    <w:p w14:paraId="37129B6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运行Run</w:t>
      </w:r>
    </w:p>
    <w:p w14:paraId="5242F48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测试一个或多个化学品，并且阴性和阳性对照同时进行的一个实验过程。</w:t>
      </w:r>
    </w:p>
    <w:p w14:paraId="6A27C05D">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3.22</w:t>
      </w:r>
    </w:p>
    <w:p w14:paraId="7127134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黑体" w:hAnsi="黑体" w:eastAsia="黑体" w:cs="黑体"/>
          <w:lang w:val="en-US" w:eastAsia="zh-CN"/>
        </w:rPr>
      </w:pPr>
      <w:r>
        <w:rPr>
          <w:rFonts w:hint="default" w:ascii="黑体" w:hAnsi="黑体" w:eastAsia="黑体" w:cs="黑体"/>
          <w:lang w:val="en-US" w:eastAsia="zh-CN"/>
        </w:rPr>
        <w:t>测试Test</w:t>
      </w:r>
    </w:p>
    <w:p w14:paraId="527210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单个测试物，按照相应的SOP的要求，同时完成最少三个平行组织检验的过程。</w:t>
      </w:r>
    </w:p>
    <w:p w14:paraId="6400C0A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4 缩略语</w:t>
      </w:r>
    </w:p>
    <w:p w14:paraId="1FA55F1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下列缩略语适用于本文件。</w:t>
      </w:r>
    </w:p>
    <w:p w14:paraId="3AD114A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黑体" w:hAnsi="黑体" w:eastAsia="黑体" w:cs="黑体"/>
          <w:bCs/>
          <w:kern w:val="0"/>
          <w:sz w:val="21"/>
          <w:szCs w:val="21"/>
          <w:lang w:val="en-US" w:eastAsia="zh-CN"/>
        </w:rPr>
        <w:t>ARE：</w:t>
      </w:r>
      <w:r>
        <w:rPr>
          <w:rFonts w:hint="eastAsia" w:ascii="宋体" w:hAnsi="宋体" w:eastAsia="宋体" w:cs="宋体"/>
          <w:bCs/>
          <w:kern w:val="0"/>
          <w:sz w:val="21"/>
          <w:szCs w:val="21"/>
          <w:lang w:val="en-US" w:eastAsia="zh-CN"/>
        </w:rPr>
        <w:t>抗氧化反应元件，</w:t>
      </w:r>
      <w:r>
        <w:rPr>
          <w:rFonts w:hint="eastAsia" w:ascii="黑体" w:hAnsi="黑体" w:eastAsia="黑体" w:cs="黑体"/>
          <w:bCs/>
          <w:kern w:val="0"/>
          <w:sz w:val="21"/>
          <w:szCs w:val="21"/>
          <w:lang w:val="en-US" w:eastAsia="zh-CN"/>
        </w:rPr>
        <w:t>Antioxidant response element</w:t>
      </w:r>
    </w:p>
    <w:p w14:paraId="620A06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黑体" w:hAnsi="黑体" w:eastAsia="黑体" w:cs="黑体"/>
          <w:bCs/>
          <w:kern w:val="0"/>
          <w:sz w:val="21"/>
          <w:szCs w:val="21"/>
          <w:lang w:val="en-US" w:eastAsia="zh-CN"/>
        </w:rPr>
        <w:t>BLR：</w:t>
      </w:r>
      <w:r>
        <w:rPr>
          <w:rFonts w:hint="eastAsia" w:ascii="宋体" w:hAnsi="宋体" w:eastAsia="宋体" w:cs="宋体"/>
          <w:bCs/>
          <w:kern w:val="0"/>
          <w:sz w:val="21"/>
          <w:szCs w:val="21"/>
          <w:lang w:val="en-US" w:eastAsia="zh-CN"/>
        </w:rPr>
        <w:t>实验室间的再现性，</w:t>
      </w:r>
      <w:r>
        <w:rPr>
          <w:rFonts w:hint="eastAsia" w:ascii="黑体" w:hAnsi="黑体" w:eastAsia="黑体" w:cs="黑体"/>
          <w:bCs/>
          <w:kern w:val="0"/>
          <w:sz w:val="21"/>
          <w:szCs w:val="21"/>
          <w:lang w:val="en-US" w:eastAsia="zh-CN"/>
        </w:rPr>
        <w:t>Between laboratory reproducibility</w:t>
      </w:r>
    </w:p>
    <w:p w14:paraId="3AA16B4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CASRN：</w:t>
      </w:r>
      <w:r>
        <w:rPr>
          <w:rFonts w:hint="eastAsia" w:ascii="宋体" w:hAnsi="宋体" w:eastAsia="宋体" w:cs="宋体"/>
          <w:bCs/>
          <w:kern w:val="0"/>
          <w:sz w:val="21"/>
          <w:szCs w:val="21"/>
          <w:lang w:val="en-US" w:eastAsia="zh-CN"/>
        </w:rPr>
        <w:t>国际标准的化学登记号，</w:t>
      </w:r>
      <w:r>
        <w:rPr>
          <w:rFonts w:hint="eastAsia" w:ascii="黑体" w:hAnsi="黑体" w:eastAsia="黑体" w:cs="黑体"/>
          <w:bCs/>
          <w:kern w:val="0"/>
          <w:sz w:val="21"/>
          <w:szCs w:val="21"/>
          <w:lang w:val="en-US" w:eastAsia="zh-CN"/>
        </w:rPr>
        <w:t>Chemical Abstracts Service Registry Number</w:t>
      </w:r>
    </w:p>
    <w:p w14:paraId="05468FB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EURL ECVAM：</w:t>
      </w:r>
      <w:r>
        <w:rPr>
          <w:rFonts w:hint="eastAsia" w:ascii="宋体" w:hAnsi="宋体" w:eastAsia="宋体" w:cs="宋体"/>
          <w:bCs/>
          <w:kern w:val="0"/>
          <w:sz w:val="21"/>
          <w:szCs w:val="21"/>
          <w:lang w:val="en-US" w:eastAsia="zh-CN"/>
        </w:rPr>
        <w:t>欧盟动物替代实验参考实验室，</w:t>
      </w:r>
      <w:r>
        <w:rPr>
          <w:rFonts w:hint="eastAsia" w:ascii="黑体" w:hAnsi="黑体" w:eastAsia="黑体" w:cs="黑体"/>
          <w:bCs/>
          <w:kern w:val="0"/>
          <w:sz w:val="21"/>
          <w:szCs w:val="21"/>
          <w:lang w:val="en-US" w:eastAsia="zh-CN"/>
        </w:rPr>
        <w:t>European Centre for the Validation of Alternative Methods</w:t>
      </w:r>
    </w:p>
    <w:p w14:paraId="76BEAA7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FBS：</w:t>
      </w:r>
      <w:r>
        <w:rPr>
          <w:rFonts w:hint="eastAsia" w:ascii="宋体" w:hAnsi="宋体" w:eastAsia="宋体" w:cs="宋体"/>
          <w:bCs/>
          <w:kern w:val="0"/>
          <w:sz w:val="21"/>
          <w:szCs w:val="21"/>
          <w:lang w:val="en-US" w:eastAsia="zh-CN"/>
        </w:rPr>
        <w:t>胎牛血清，</w:t>
      </w:r>
      <w:r>
        <w:rPr>
          <w:rFonts w:hint="eastAsia" w:ascii="黑体" w:hAnsi="黑体" w:eastAsia="黑体" w:cs="黑体"/>
          <w:bCs/>
          <w:kern w:val="0"/>
          <w:sz w:val="21"/>
          <w:szCs w:val="21"/>
          <w:lang w:val="en-US" w:eastAsia="zh-CN"/>
        </w:rPr>
        <w:t>Fetal bovine serum</w:t>
      </w:r>
    </w:p>
    <w:p w14:paraId="142708C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Imax：</w:t>
      </w:r>
      <w:r>
        <w:rPr>
          <w:rFonts w:hint="eastAsia" w:ascii="宋体" w:hAnsi="宋体" w:eastAsia="宋体" w:cs="宋体"/>
          <w:bCs/>
          <w:kern w:val="0"/>
          <w:sz w:val="21"/>
          <w:szCs w:val="21"/>
          <w:lang w:val="en-US" w:eastAsia="zh-CN"/>
        </w:rPr>
        <w:t>与溶剂对照相比，荧光素酶活性的最大诱导倍数，</w:t>
      </w:r>
      <w:r>
        <w:rPr>
          <w:rFonts w:hint="eastAsia" w:ascii="黑体" w:hAnsi="黑体" w:eastAsia="黑体" w:cs="黑体"/>
          <w:bCs/>
          <w:kern w:val="0"/>
          <w:sz w:val="21"/>
          <w:szCs w:val="21"/>
          <w:lang w:val="en-US" w:eastAsia="zh-CN"/>
        </w:rPr>
        <w:t>Maximal induction</w:t>
      </w:r>
    </w:p>
    <w:p w14:paraId="005C240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黑体" w:hAnsi="黑体" w:eastAsia="黑体" w:cs="黑体"/>
          <w:bCs/>
          <w:kern w:val="0"/>
          <w:sz w:val="21"/>
          <w:szCs w:val="21"/>
          <w:lang w:val="en-US" w:eastAsia="zh-CN"/>
        </w:rPr>
        <w:t>LLNA：</w:t>
      </w:r>
      <w:r>
        <w:rPr>
          <w:rFonts w:hint="eastAsia" w:ascii="宋体" w:hAnsi="宋体" w:eastAsia="宋体" w:cs="宋体"/>
          <w:bCs/>
          <w:kern w:val="0"/>
          <w:sz w:val="21"/>
          <w:szCs w:val="21"/>
          <w:lang w:val="en-US" w:eastAsia="zh-CN"/>
        </w:rPr>
        <w:t>小鼠局部淋巴结试验，</w:t>
      </w:r>
      <w:r>
        <w:rPr>
          <w:rFonts w:hint="eastAsia" w:ascii="黑体" w:hAnsi="黑体" w:eastAsia="黑体" w:cs="黑体"/>
          <w:bCs/>
          <w:kern w:val="0"/>
          <w:sz w:val="21"/>
          <w:szCs w:val="21"/>
          <w:lang w:val="en-US" w:eastAsia="zh-CN"/>
        </w:rPr>
        <w:t>Local Lymph Node Assay</w:t>
      </w:r>
    </w:p>
    <w:p w14:paraId="6884F56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Nrf2：</w:t>
      </w:r>
      <w:r>
        <w:rPr>
          <w:rFonts w:hint="eastAsia" w:ascii="宋体" w:hAnsi="宋体" w:eastAsia="宋体" w:cs="宋体"/>
          <w:bCs/>
          <w:kern w:val="0"/>
          <w:sz w:val="21"/>
          <w:szCs w:val="21"/>
          <w:lang w:val="en-US" w:eastAsia="zh-CN"/>
        </w:rPr>
        <w:t>参与抗氧化反应通路的转录因子，</w:t>
      </w:r>
      <w:r>
        <w:rPr>
          <w:rFonts w:hint="eastAsia" w:ascii="黑体" w:hAnsi="黑体" w:eastAsia="黑体" w:cs="黑体"/>
          <w:bCs/>
          <w:kern w:val="0"/>
          <w:sz w:val="21"/>
          <w:szCs w:val="21"/>
          <w:lang w:val="en-US" w:eastAsia="zh-CN"/>
        </w:rPr>
        <w:t>Nuclear factor (erythroid-derived 2)-like 2</w:t>
      </w:r>
    </w:p>
    <w:p w14:paraId="3EA6422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OECD：</w:t>
      </w:r>
      <w:r>
        <w:rPr>
          <w:rFonts w:hint="eastAsia" w:ascii="宋体" w:hAnsi="宋体" w:eastAsia="宋体" w:cs="宋体"/>
          <w:bCs/>
          <w:kern w:val="0"/>
          <w:sz w:val="21"/>
          <w:szCs w:val="21"/>
          <w:lang w:val="en-US" w:eastAsia="zh-CN"/>
        </w:rPr>
        <w:t>世界经济合作和发展组织，</w:t>
      </w:r>
      <w:r>
        <w:rPr>
          <w:rFonts w:hint="eastAsia" w:ascii="黑体" w:hAnsi="黑体" w:eastAsia="黑体" w:cs="黑体"/>
          <w:bCs/>
          <w:kern w:val="0"/>
          <w:sz w:val="21"/>
          <w:szCs w:val="21"/>
          <w:lang w:val="en-US" w:eastAsia="zh-CN"/>
        </w:rPr>
        <w:t>The Organisation for Economic Co-operation and Development</w:t>
      </w:r>
    </w:p>
    <w:p w14:paraId="605C658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SOP：</w:t>
      </w:r>
      <w:r>
        <w:rPr>
          <w:rFonts w:hint="eastAsia" w:ascii="宋体" w:hAnsi="宋体" w:eastAsia="宋体" w:cs="宋体"/>
          <w:bCs/>
          <w:kern w:val="0"/>
          <w:sz w:val="21"/>
          <w:szCs w:val="21"/>
          <w:lang w:val="en-US" w:eastAsia="zh-CN"/>
        </w:rPr>
        <w:t>标准操作规程，</w:t>
      </w:r>
      <w:r>
        <w:rPr>
          <w:rFonts w:hint="eastAsia" w:ascii="黑体" w:hAnsi="黑体" w:eastAsia="黑体" w:cs="黑体"/>
          <w:bCs/>
          <w:kern w:val="0"/>
          <w:sz w:val="21"/>
          <w:szCs w:val="21"/>
          <w:lang w:val="en-US" w:eastAsia="zh-CN"/>
        </w:rPr>
        <w:t>Standard Operating Procedures</w:t>
      </w:r>
    </w:p>
    <w:p w14:paraId="3D6F76B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UNGHS：</w:t>
      </w:r>
      <w:r>
        <w:rPr>
          <w:rFonts w:hint="eastAsia" w:ascii="宋体" w:hAnsi="宋体" w:eastAsia="宋体" w:cs="宋体"/>
          <w:bCs/>
          <w:kern w:val="0"/>
          <w:sz w:val="21"/>
          <w:szCs w:val="21"/>
          <w:lang w:val="en-US" w:eastAsia="zh-CN"/>
        </w:rPr>
        <w:t>联合国全球化学品分类标识协调系统，</w:t>
      </w:r>
      <w:r>
        <w:rPr>
          <w:rFonts w:hint="eastAsia" w:ascii="黑体" w:hAnsi="黑体" w:eastAsia="黑体" w:cs="黑体"/>
          <w:bCs/>
          <w:kern w:val="0"/>
          <w:sz w:val="21"/>
          <w:szCs w:val="21"/>
          <w:lang w:val="en-US" w:eastAsia="zh-CN"/>
        </w:rPr>
        <w:t>United Nations Globally Harmonized System of Classification and Labelling of Chemicals</w:t>
      </w:r>
    </w:p>
    <w:p w14:paraId="0AA21B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VRM：</w:t>
      </w:r>
      <w:r>
        <w:rPr>
          <w:rFonts w:hint="eastAsia" w:ascii="宋体" w:hAnsi="宋体" w:eastAsia="宋体" w:cs="宋体"/>
          <w:bCs/>
          <w:kern w:val="0"/>
          <w:sz w:val="21"/>
          <w:szCs w:val="21"/>
          <w:lang w:val="en-US" w:eastAsia="zh-CN"/>
        </w:rPr>
        <w:t>经验证的参考方法，</w:t>
      </w:r>
      <w:r>
        <w:rPr>
          <w:rFonts w:hint="eastAsia" w:ascii="黑体" w:hAnsi="黑体" w:eastAsia="黑体" w:cs="黑体"/>
          <w:bCs/>
          <w:kern w:val="0"/>
          <w:sz w:val="21"/>
          <w:szCs w:val="21"/>
          <w:lang w:val="en-US" w:eastAsia="zh-CN"/>
        </w:rPr>
        <w:t>the validated reference method</w:t>
      </w:r>
    </w:p>
    <w:p w14:paraId="51CCA9E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WLR：</w:t>
      </w:r>
      <w:r>
        <w:rPr>
          <w:rFonts w:hint="eastAsia" w:ascii="宋体" w:hAnsi="宋体" w:eastAsia="宋体" w:cs="宋体"/>
          <w:bCs/>
          <w:kern w:val="0"/>
          <w:sz w:val="21"/>
          <w:szCs w:val="21"/>
          <w:lang w:val="en-US" w:eastAsia="zh-CN"/>
        </w:rPr>
        <w:t>实验室内重现性，</w:t>
      </w:r>
      <w:r>
        <w:rPr>
          <w:rFonts w:hint="eastAsia" w:ascii="黑体" w:hAnsi="黑体" w:eastAsia="黑体" w:cs="黑体"/>
          <w:bCs/>
          <w:kern w:val="0"/>
          <w:sz w:val="21"/>
          <w:szCs w:val="21"/>
          <w:lang w:val="en-US" w:eastAsia="zh-CN"/>
        </w:rPr>
        <w:t>Within-laboratory reproducibility</w:t>
      </w:r>
    </w:p>
    <w:p w14:paraId="3185CF56">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5 原则</w:t>
      </w:r>
    </w:p>
    <w:p w14:paraId="0B9FFCA3">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5.1 一致性原则</w:t>
      </w:r>
    </w:p>
    <w:p w14:paraId="72DF6FA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经验证的参考方法由基本结构、功能和程序构成。类似或改进的方法在结构与功能上应与之保持一致。核查体外方法的这三要素，可明确其特有性质、程序关键细节及质量控制措施。体外方法主要用于定性或定量预测生物学反应，涵盖人类或环境危害效应及程度，其执行基础为一致性，即确保随时间推移和不同实验室间的结果具有一致性。</w:t>
      </w:r>
    </w:p>
    <w:p w14:paraId="4FBFF0F0">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5.2 方法依据</w:t>
      </w:r>
    </w:p>
    <w:p w14:paraId="6F918FE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default" w:ascii="宋体" w:hAnsi="宋体" w:eastAsia="宋体" w:cs="宋体"/>
          <w:bCs/>
          <w:kern w:val="0"/>
          <w:sz w:val="21"/>
          <w:szCs w:val="21"/>
          <w:lang w:val="en-US" w:eastAsia="zh-CN"/>
        </w:rPr>
        <w:t>基于ARE-Nrf2荧光素酶的皮肤致敏体外细胞试验方法</w:t>
      </w:r>
      <w:r>
        <w:rPr>
          <w:rFonts w:hint="eastAsia" w:ascii="宋体" w:hAnsi="宋体" w:eastAsia="宋体" w:cs="宋体"/>
          <w:bCs/>
          <w:kern w:val="0"/>
          <w:sz w:val="21"/>
          <w:szCs w:val="21"/>
          <w:lang w:val="en-US" w:eastAsia="zh-CN"/>
        </w:rPr>
        <w:t>由</w:t>
      </w:r>
      <w:r>
        <w:rPr>
          <w:rFonts w:hint="default" w:ascii="宋体" w:hAnsi="宋体" w:eastAsia="宋体" w:cs="宋体"/>
          <w:bCs/>
          <w:kern w:val="0"/>
          <w:sz w:val="21"/>
          <w:szCs w:val="21"/>
          <w:lang w:val="en-US" w:eastAsia="zh-CN"/>
        </w:rPr>
        <w:t>OECD TG442D改进。对于类似或改进的方法，若存在特定参数或实验步骤差异，应提供相应的值或操作步骤修改说明。</w:t>
      </w:r>
    </w:p>
    <w:p w14:paraId="316FB238">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5.3 可追溯性原则</w:t>
      </w:r>
    </w:p>
    <w:p w14:paraId="23D0828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default" w:ascii="宋体" w:hAnsi="宋体" w:eastAsia="宋体" w:cs="宋体"/>
          <w:bCs/>
          <w:kern w:val="0"/>
          <w:sz w:val="21"/>
          <w:szCs w:val="21"/>
          <w:lang w:val="en-US" w:eastAsia="zh-CN"/>
        </w:rPr>
        <w:t>制定可接受标准应基于方法所有关键组件和内容的历史数据，可从验证研究或相关文献中补充，且历史数据须来源于已验证的方法。</w:t>
      </w:r>
    </w:p>
    <w:p w14:paraId="6E8A3D9F">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5.4 性能一致性评价</w:t>
      </w:r>
    </w:p>
    <w:p w14:paraId="0F1FF10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default" w:ascii="宋体" w:hAnsi="宋体" w:eastAsia="宋体" w:cs="宋体"/>
          <w:bCs/>
          <w:kern w:val="0"/>
          <w:sz w:val="21"/>
          <w:szCs w:val="21"/>
          <w:lang w:val="en-US" w:eastAsia="zh-CN"/>
        </w:rPr>
        <w:t>新方法应用前，需用参考化学品评估性能，确定可靠性和预测能力。这些化学品取自皮肤致敏体内动物实验的参考致敏物和非致敏物，以确保改进方法依 UNGHS 制度正确区分致敏性与非致敏性化学品。类似的或改进的测试方法，与验证参考方法相比，应具备相同或更优的再现性、敏感性、特异性和准确性。</w:t>
      </w:r>
    </w:p>
    <w:p w14:paraId="7B7B5BE9">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default"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 基于ARE-Nrf2荧光素酶的皮肤致敏体外细胞试验方法</w:t>
      </w:r>
    </w:p>
    <w:p w14:paraId="125136F1">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6.1</w:t>
      </w:r>
      <w:r>
        <w:rPr>
          <w:rFonts w:hint="default" w:ascii="黑体" w:hAnsi="黑体" w:eastAsia="黑体" w:cs="黑体"/>
          <w:bCs/>
          <w:kern w:val="0"/>
          <w:sz w:val="21"/>
          <w:szCs w:val="21"/>
          <w:lang w:val="en-US" w:eastAsia="zh-CN"/>
        </w:rPr>
        <w:t xml:space="preserve"> </w:t>
      </w:r>
      <w:r>
        <w:rPr>
          <w:rFonts w:hint="eastAsia" w:ascii="黑体" w:hAnsi="黑体" w:eastAsia="黑体" w:cs="黑体"/>
          <w:bCs/>
          <w:kern w:val="0"/>
          <w:sz w:val="21"/>
          <w:szCs w:val="21"/>
          <w:lang w:val="en-US" w:eastAsia="zh-CN"/>
        </w:rPr>
        <w:t>基本要求</w:t>
      </w:r>
    </w:p>
    <w:p w14:paraId="24AC7C84">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6.1.1 细胞要求</w:t>
      </w:r>
    </w:p>
    <w:p w14:paraId="33B66BF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基于</w:t>
      </w:r>
      <w:r>
        <w:rPr>
          <w:rFonts w:hint="default" w:ascii="宋体" w:hAnsi="宋体" w:eastAsia="宋体" w:cs="宋体"/>
          <w:bCs/>
          <w:kern w:val="0"/>
          <w:sz w:val="21"/>
          <w:szCs w:val="21"/>
          <w:lang w:val="en-US" w:eastAsia="zh-CN"/>
        </w:rPr>
        <w:t>ARE-N</w:t>
      </w:r>
      <w:r>
        <w:rPr>
          <w:rFonts w:hint="eastAsia" w:ascii="宋体" w:hAnsi="宋体" w:eastAsia="宋体" w:cs="宋体"/>
          <w:bCs/>
          <w:kern w:val="0"/>
          <w:sz w:val="21"/>
          <w:szCs w:val="21"/>
          <w:lang w:val="en-US" w:eastAsia="zh-CN"/>
        </w:rPr>
        <w:t>rf</w:t>
      </w:r>
      <w:r>
        <w:rPr>
          <w:rFonts w:hint="default" w:ascii="宋体" w:hAnsi="宋体" w:eastAsia="宋体" w:cs="宋体"/>
          <w:bCs/>
          <w:kern w:val="0"/>
          <w:sz w:val="21"/>
          <w:szCs w:val="21"/>
          <w:lang w:val="en-US" w:eastAsia="zh-CN"/>
        </w:rPr>
        <w:t>2荧光素酶</w:t>
      </w:r>
      <w:r>
        <w:rPr>
          <w:rFonts w:hint="eastAsia" w:ascii="宋体" w:hAnsi="宋体" w:eastAsia="宋体" w:cs="宋体"/>
          <w:bCs/>
          <w:kern w:val="0"/>
          <w:sz w:val="21"/>
          <w:szCs w:val="21"/>
          <w:lang w:val="en-US" w:eastAsia="zh-CN"/>
        </w:rPr>
        <w:t>的皮肤致敏体外细胞</w:t>
      </w:r>
      <w:r>
        <w:rPr>
          <w:rFonts w:hint="default" w:ascii="宋体" w:hAnsi="宋体" w:eastAsia="宋体" w:cs="宋体"/>
          <w:bCs/>
          <w:kern w:val="0"/>
          <w:sz w:val="21"/>
          <w:szCs w:val="21"/>
          <w:lang w:val="en-US" w:eastAsia="zh-CN"/>
        </w:rPr>
        <w:t>试验应</w:t>
      </w:r>
      <w:r>
        <w:rPr>
          <w:rFonts w:hint="eastAsia" w:ascii="宋体" w:hAnsi="宋体" w:eastAsia="宋体" w:cs="宋体"/>
          <w:bCs/>
          <w:kern w:val="0"/>
          <w:sz w:val="21"/>
          <w:szCs w:val="21"/>
          <w:lang w:val="en-US" w:eastAsia="zh-CN"/>
        </w:rPr>
        <w:t>采用</w:t>
      </w:r>
      <w:r>
        <w:rPr>
          <w:rFonts w:hint="default" w:ascii="宋体" w:hAnsi="宋体" w:eastAsia="宋体" w:cs="宋体"/>
          <w:bCs/>
          <w:kern w:val="0"/>
          <w:sz w:val="21"/>
          <w:szCs w:val="21"/>
          <w:lang w:val="en-US" w:eastAsia="zh-CN"/>
        </w:rPr>
        <w:t>与皮肤致敏过程相关的转基因人类细胞系(如角质形成细胞、树突状细胞</w:t>
      </w:r>
      <w:r>
        <w:rPr>
          <w:rFonts w:hint="eastAsia" w:ascii="宋体" w:hAnsi="宋体" w:eastAsia="宋体" w:cs="宋体"/>
          <w:bCs/>
          <w:kern w:val="0"/>
          <w:sz w:val="21"/>
          <w:szCs w:val="21"/>
          <w:lang w:val="en-US" w:eastAsia="zh-CN"/>
        </w:rPr>
        <w:t>等</w:t>
      </w:r>
      <w:r>
        <w:rPr>
          <w:rFonts w:hint="default" w:ascii="宋体" w:hAnsi="宋体" w:eastAsia="宋体" w:cs="宋体"/>
          <w:bCs/>
          <w:kern w:val="0"/>
          <w:sz w:val="21"/>
          <w:szCs w:val="21"/>
          <w:lang w:val="en-US" w:eastAsia="zh-CN"/>
        </w:rPr>
        <w:t>)</w:t>
      </w:r>
      <w:r>
        <w:rPr>
          <w:rFonts w:hint="eastAsia" w:ascii="宋体" w:hAnsi="宋体" w:eastAsia="宋体" w:cs="宋体"/>
          <w:bCs/>
          <w:kern w:val="0"/>
          <w:sz w:val="21"/>
          <w:szCs w:val="21"/>
          <w:lang w:val="en-US" w:eastAsia="zh-CN"/>
        </w:rPr>
        <w:t>，并确保荧光素酶报告基因稳定插入</w:t>
      </w:r>
      <w:r>
        <w:rPr>
          <w:rFonts w:hint="default" w:ascii="宋体" w:hAnsi="宋体" w:eastAsia="宋体" w:cs="宋体"/>
          <w:bCs/>
          <w:kern w:val="0"/>
          <w:sz w:val="21"/>
          <w:szCs w:val="21"/>
          <w:lang w:val="en-US" w:eastAsia="zh-CN"/>
        </w:rPr>
        <w:t>。克隆选择基于性能，如荧光素酶诱导光输出最佳信噪比，以及细胞用弱致敏剂处理时荧光素酶诱导最高动态范围。</w:t>
      </w:r>
    </w:p>
    <w:p w14:paraId="563D1BF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标准参考细胞系包括EndoSens、LuSens及KeratinoSens。</w:t>
      </w:r>
    </w:p>
    <w:p w14:paraId="038FBC27">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6.1.2基因要求</w:t>
      </w:r>
    </w:p>
    <w:p w14:paraId="5E90E25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default" w:ascii="宋体" w:hAnsi="宋体" w:eastAsia="宋体" w:cs="宋体"/>
          <w:bCs/>
          <w:kern w:val="0"/>
          <w:sz w:val="21"/>
          <w:szCs w:val="21"/>
          <w:lang w:val="en-US" w:eastAsia="zh-CN"/>
        </w:rPr>
        <w:t>荧光素酶报告基因</w:t>
      </w:r>
      <w:r>
        <w:rPr>
          <w:rFonts w:hint="eastAsia" w:ascii="宋体" w:hAnsi="宋体" w:eastAsia="宋体" w:cs="宋体"/>
          <w:bCs/>
          <w:kern w:val="0"/>
          <w:sz w:val="21"/>
          <w:szCs w:val="21"/>
          <w:lang w:val="en-US" w:eastAsia="zh-CN"/>
        </w:rPr>
        <w:t>需</w:t>
      </w:r>
      <w:r>
        <w:rPr>
          <w:rFonts w:hint="default" w:ascii="宋体" w:hAnsi="宋体" w:eastAsia="宋体" w:cs="宋体"/>
          <w:bCs/>
          <w:kern w:val="0"/>
          <w:sz w:val="21"/>
          <w:szCs w:val="21"/>
          <w:lang w:val="en-US" w:eastAsia="zh-CN"/>
        </w:rPr>
        <w:t>在人AKR1C2（人源重组蛋白）基因的ARE元件或替代ARE元件的控制下，被皮肤致敏剂上调。若使用含替代ARE元件的细胞系，应证明所选ARE元件对Nrf2的特定依赖性及报告基因活性对Nrf2的依赖性。可通过在报告细胞系中暂时或永久灭活Nrf2活性，验证致敏剂诱导的荧光素酶活性因Nrf2表达减少或丢失而降低。</w:t>
      </w:r>
    </w:p>
    <w:p w14:paraId="1F8A1927">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6.1.</w:t>
      </w:r>
      <w:r>
        <w:rPr>
          <w:rFonts w:hint="eastAsia" w:ascii="黑体" w:hAnsi="黑体" w:eastAsia="黑体" w:cs="黑体"/>
          <w:bCs/>
          <w:kern w:val="0"/>
          <w:sz w:val="21"/>
          <w:szCs w:val="21"/>
          <w:lang w:val="en-US" w:eastAsia="zh-CN"/>
        </w:rPr>
        <w:t>3</w:t>
      </w:r>
      <w:r>
        <w:rPr>
          <w:rFonts w:hint="default" w:ascii="黑体" w:hAnsi="黑体" w:eastAsia="黑体" w:cs="黑体"/>
          <w:bCs/>
          <w:kern w:val="0"/>
          <w:sz w:val="21"/>
          <w:szCs w:val="21"/>
          <w:lang w:val="en-US" w:eastAsia="zh-CN"/>
        </w:rPr>
        <w:t>实验要求</w:t>
      </w:r>
    </w:p>
    <w:p w14:paraId="66A08D8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bCs/>
          <w:kern w:val="0"/>
          <w:sz w:val="21"/>
          <w:szCs w:val="21"/>
          <w:lang w:val="en-US" w:eastAsia="zh-CN"/>
        </w:rPr>
      </w:pPr>
      <w:r>
        <w:rPr>
          <w:rFonts w:hint="default" w:ascii="宋体" w:hAnsi="宋体" w:eastAsia="宋体" w:cs="宋体"/>
          <w:bCs/>
          <w:kern w:val="0"/>
          <w:sz w:val="21"/>
          <w:szCs w:val="21"/>
          <w:lang w:val="en-US" w:eastAsia="zh-CN"/>
        </w:rPr>
        <w:t>应确定最佳细胞接种数量以及培养基组成(如DMSO、FCS)，以确保皮肤致敏剂(包括弱致敏剂)获得显著的荧光素酶诱导。还应评估受试物的细胞毒性。</w:t>
      </w:r>
    </w:p>
    <w:p w14:paraId="44D6FD90">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6.2</w:t>
      </w:r>
      <w:r>
        <w:rPr>
          <w:rFonts w:hint="default" w:ascii="黑体" w:hAnsi="黑体" w:eastAsia="黑体" w:cs="黑体"/>
          <w:bCs/>
          <w:kern w:val="0"/>
          <w:sz w:val="21"/>
          <w:szCs w:val="21"/>
          <w:lang w:val="en-US" w:eastAsia="zh-CN"/>
        </w:rPr>
        <w:t xml:space="preserve"> </w:t>
      </w:r>
      <w:r>
        <w:rPr>
          <w:rFonts w:hint="eastAsia" w:ascii="黑体" w:hAnsi="黑体" w:eastAsia="黑体" w:cs="黑体"/>
          <w:bCs/>
          <w:kern w:val="0"/>
          <w:sz w:val="21"/>
          <w:szCs w:val="21"/>
          <w:lang w:val="en-US" w:eastAsia="zh-CN"/>
        </w:rPr>
        <w:t>试验步骤</w:t>
      </w:r>
    </w:p>
    <w:p w14:paraId="73844C2E">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6.2.1 细胞的准备</w:t>
      </w:r>
    </w:p>
    <w:p w14:paraId="7838A994">
      <w:pPr>
        <w:pStyle w:val="5"/>
        <w:keepNext w:val="0"/>
        <w:keepLines w:val="0"/>
        <w:widowControl/>
        <w:suppressLineNumbers w:val="0"/>
        <w:spacing w:before="0" w:beforeAutospacing="0" w:after="0" w:afterAutospacing="0"/>
        <w:ind w:left="0" w:righ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测试所用</w:t>
      </w:r>
      <w:r>
        <w:rPr>
          <w:rFonts w:hint="eastAsia" w:ascii="宋体" w:hAnsi="宋体" w:eastAsia="宋体" w:cs="宋体"/>
          <w:sz w:val="21"/>
          <w:szCs w:val="21"/>
        </w:rPr>
        <w:t>细胞应</w:t>
      </w:r>
      <w:r>
        <w:rPr>
          <w:rFonts w:hint="eastAsia" w:ascii="宋体" w:hAnsi="宋体" w:eastAsia="宋体" w:cs="宋体"/>
          <w:sz w:val="21"/>
          <w:szCs w:val="21"/>
          <w:lang w:val="en-US" w:eastAsia="zh-CN"/>
        </w:rPr>
        <w:t>处于</w:t>
      </w:r>
      <w:r>
        <w:rPr>
          <w:rFonts w:hint="eastAsia" w:ascii="宋体" w:hAnsi="宋体" w:eastAsia="宋体" w:cs="宋体"/>
          <w:sz w:val="21"/>
          <w:szCs w:val="21"/>
        </w:rPr>
        <w:t>80-90%融合</w:t>
      </w:r>
      <w:r>
        <w:rPr>
          <w:rFonts w:hint="eastAsia" w:ascii="宋体" w:hAnsi="宋体" w:eastAsia="宋体" w:cs="宋体"/>
          <w:sz w:val="21"/>
          <w:szCs w:val="21"/>
          <w:lang w:val="en-US" w:eastAsia="zh-CN"/>
        </w:rPr>
        <w:t>状态</w:t>
      </w:r>
      <w:r>
        <w:rPr>
          <w:rFonts w:hint="eastAsia" w:ascii="宋体" w:hAnsi="宋体" w:eastAsia="宋体" w:cs="宋体"/>
          <w:sz w:val="21"/>
          <w:szCs w:val="21"/>
        </w:rPr>
        <w:t>，</w:t>
      </w:r>
      <w:r>
        <w:rPr>
          <w:rFonts w:hint="eastAsia" w:ascii="宋体" w:hAnsi="宋体" w:eastAsia="宋体" w:cs="宋体"/>
          <w:sz w:val="21"/>
          <w:szCs w:val="21"/>
          <w:lang w:val="en-US" w:eastAsia="zh-CN"/>
        </w:rPr>
        <w:t>且避免生长至完全融合</w:t>
      </w:r>
      <w:r>
        <w:rPr>
          <w:rFonts w:hint="eastAsia" w:ascii="宋体" w:hAnsi="宋体" w:eastAsia="宋体" w:cs="宋体"/>
          <w:sz w:val="21"/>
          <w:szCs w:val="21"/>
        </w:rPr>
        <w:t>。</w:t>
      </w:r>
      <w:r>
        <w:rPr>
          <w:rFonts w:hint="eastAsia" w:ascii="宋体" w:hAnsi="宋体" w:eastAsia="宋体" w:cs="宋体"/>
          <w:sz w:val="21"/>
          <w:szCs w:val="21"/>
          <w:lang w:val="en-US" w:eastAsia="zh-CN"/>
        </w:rPr>
        <w:t>于</w:t>
      </w:r>
      <w:r>
        <w:rPr>
          <w:rFonts w:hint="eastAsia" w:ascii="宋体" w:hAnsi="宋体" w:eastAsia="宋体" w:cs="宋体"/>
          <w:sz w:val="21"/>
          <w:szCs w:val="21"/>
        </w:rPr>
        <w:t>测试前一天收集细胞，并以</w:t>
      </w:r>
      <w:r>
        <w:rPr>
          <w:rFonts w:hint="eastAsia" w:ascii="宋体" w:hAnsi="宋体" w:eastAsia="宋体" w:cs="宋体"/>
          <w:sz w:val="21"/>
          <w:szCs w:val="21"/>
          <w:lang w:val="en-US" w:eastAsia="zh-CN"/>
        </w:rPr>
        <w:t>1×10</w:t>
      </w:r>
      <w:r>
        <w:rPr>
          <w:rFonts w:hint="eastAsia" w:ascii="宋体" w:hAnsi="宋体" w:eastAsia="宋体" w:cs="宋体"/>
          <w:sz w:val="21"/>
          <w:szCs w:val="21"/>
          <w:vertAlign w:val="superscript"/>
          <w:lang w:val="en-US" w:eastAsia="zh-CN"/>
        </w:rPr>
        <w:t>4</w:t>
      </w:r>
      <w:r>
        <w:rPr>
          <w:rFonts w:hint="eastAsia" w:ascii="宋体" w:hAnsi="宋体" w:eastAsia="宋体" w:cs="宋体"/>
          <w:sz w:val="21"/>
          <w:szCs w:val="21"/>
        </w:rPr>
        <w:t>个细胞/孔的密度</w:t>
      </w:r>
      <w:r>
        <w:rPr>
          <w:rFonts w:hint="eastAsia" w:ascii="宋体" w:hAnsi="宋体" w:eastAsia="宋体" w:cs="宋体"/>
          <w:sz w:val="21"/>
          <w:szCs w:val="21"/>
          <w:lang w:val="en-US" w:eastAsia="zh-CN"/>
        </w:rPr>
        <w:t>接种至</w:t>
      </w:r>
      <w:r>
        <w:rPr>
          <w:rFonts w:hint="eastAsia" w:ascii="宋体" w:hAnsi="宋体" w:eastAsia="宋体" w:cs="宋体"/>
          <w:sz w:val="21"/>
          <w:szCs w:val="21"/>
        </w:rPr>
        <w:t>96孔板。</w:t>
      </w:r>
      <w:r>
        <w:rPr>
          <w:rFonts w:hint="eastAsia" w:ascii="宋体" w:hAnsi="宋体" w:eastAsia="宋体" w:cs="宋体"/>
          <w:sz w:val="21"/>
          <w:szCs w:val="21"/>
          <w:lang w:val="en-US" w:eastAsia="zh-CN"/>
        </w:rPr>
        <w:t>接种时需防止</w:t>
      </w:r>
      <w:r>
        <w:rPr>
          <w:rFonts w:hint="eastAsia" w:ascii="宋体" w:hAnsi="宋体" w:eastAsia="宋体" w:cs="宋体"/>
          <w:sz w:val="21"/>
          <w:szCs w:val="21"/>
        </w:rPr>
        <w:t>细胞沉降，以</w:t>
      </w:r>
      <w:r>
        <w:rPr>
          <w:rFonts w:hint="eastAsia" w:ascii="宋体" w:hAnsi="宋体" w:eastAsia="宋体" w:cs="宋体"/>
          <w:sz w:val="21"/>
          <w:szCs w:val="21"/>
          <w:lang w:val="en-US" w:eastAsia="zh-CN"/>
        </w:rPr>
        <w:t>保证</w:t>
      </w:r>
      <w:r>
        <w:rPr>
          <w:rFonts w:hint="eastAsia" w:ascii="宋体" w:hAnsi="宋体" w:eastAsia="宋体" w:cs="宋体"/>
          <w:sz w:val="21"/>
          <w:szCs w:val="21"/>
        </w:rPr>
        <w:t>细胞在</w:t>
      </w:r>
      <w:r>
        <w:rPr>
          <w:rFonts w:hint="eastAsia" w:ascii="宋体" w:hAnsi="宋体" w:eastAsia="宋体" w:cs="宋体"/>
          <w:sz w:val="21"/>
          <w:szCs w:val="21"/>
          <w:lang w:val="en-US" w:eastAsia="zh-CN"/>
        </w:rPr>
        <w:t>孔内</w:t>
      </w:r>
      <w:r>
        <w:rPr>
          <w:rFonts w:hint="eastAsia" w:ascii="宋体" w:hAnsi="宋体" w:eastAsia="宋体" w:cs="宋体"/>
          <w:sz w:val="21"/>
          <w:szCs w:val="21"/>
        </w:rPr>
        <w:t>均匀分布。</w:t>
      </w:r>
    </w:p>
    <w:p w14:paraId="23F04E69">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6.2.2 受试物和对照的制备</w:t>
      </w:r>
    </w:p>
    <w:p w14:paraId="69347F12">
      <w:pPr>
        <w:widowControl/>
        <w:tabs>
          <w:tab w:val="left" w:pos="312"/>
        </w:tabs>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受试物和对照品应在测试当天溶解于DMSO中，配制成所需浓度。对于未明确分子量的测试物质，宜配制成40mg/ml或4%（w/v）的储备液，采用合适溶剂（DMSO、无菌水或培养基）进行连续稀释，制得12个测试浓度。</w:t>
      </w:r>
    </w:p>
    <w:p w14:paraId="53812171">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default" w:ascii="黑体" w:hAnsi="黑体" w:eastAsia="黑体" w:cs="黑体"/>
          <w:bCs/>
          <w:kern w:val="0"/>
          <w:sz w:val="21"/>
          <w:szCs w:val="21"/>
          <w:lang w:val="en-US" w:eastAsia="zh-CN"/>
        </w:rPr>
        <w:t>6.</w:t>
      </w:r>
      <w:r>
        <w:rPr>
          <w:rFonts w:hint="eastAsia" w:ascii="黑体" w:hAnsi="黑体" w:eastAsia="黑体" w:cs="黑体"/>
          <w:bCs/>
          <w:kern w:val="0"/>
          <w:sz w:val="21"/>
          <w:szCs w:val="21"/>
          <w:lang w:val="en-US" w:eastAsia="zh-CN"/>
        </w:rPr>
        <w:t>2.3</w:t>
      </w:r>
      <w:r>
        <w:rPr>
          <w:rFonts w:hint="default" w:ascii="黑体" w:hAnsi="黑体" w:eastAsia="黑体" w:cs="黑体"/>
          <w:bCs/>
          <w:kern w:val="0"/>
          <w:sz w:val="21"/>
          <w:szCs w:val="21"/>
          <w:lang w:val="en-US" w:eastAsia="zh-CN"/>
        </w:rPr>
        <w:t xml:space="preserve"> 细胞毒性测试</w:t>
      </w:r>
    </w:p>
    <w:p w14:paraId="7CEC1479">
      <w:pPr>
        <w:pStyle w:val="5"/>
        <w:snapToGrid w:val="0"/>
        <w:spacing w:before="0" w:beforeAutospacing="0" w:after="0" w:afterAutospacing="0"/>
        <w:ind w:firstLine="420" w:firstLineChars="200"/>
        <w:jc w:val="both"/>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细胞毒性测试采用MTT法，其作为检测终点，数据与结果的准确性受多种因素影响，应避免比色、染料等自身因素以及颜色、还原剂效应等测试物质因素的干扰。在48小时暴露时间后，</w:t>
      </w:r>
      <w:r>
        <w:rPr>
          <w:rFonts w:hint="eastAsia" w:ascii="宋体" w:hAnsi="宋体" w:eastAsia="宋体" w:cs="宋体"/>
          <w:kern w:val="2"/>
          <w:sz w:val="21"/>
          <w:szCs w:val="21"/>
          <w:shd w:val="clear" w:color="auto" w:fill="FFFFFF"/>
          <w:lang w:val="en-US" w:eastAsia="zh-CN"/>
        </w:rPr>
        <w:t>更换培养基</w:t>
      </w:r>
      <w:r>
        <w:rPr>
          <w:rFonts w:hint="eastAsia" w:ascii="宋体" w:hAnsi="宋体" w:eastAsia="宋体" w:cs="宋体"/>
          <w:kern w:val="2"/>
          <w:sz w:val="21"/>
          <w:szCs w:val="21"/>
          <w:shd w:val="clear" w:color="auto" w:fill="FFFFFF"/>
        </w:rPr>
        <w:t>为含0.5 mg/ml MTT的新鲜培养基，在37±1°C</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5% CO</w:t>
      </w:r>
      <w:r>
        <w:rPr>
          <w:rFonts w:hint="eastAsia" w:ascii="宋体" w:hAnsi="宋体" w:eastAsia="宋体" w:cs="宋体"/>
          <w:kern w:val="2"/>
          <w:sz w:val="21"/>
          <w:szCs w:val="21"/>
          <w:shd w:val="clear" w:color="auto" w:fill="FFFFFF"/>
          <w:vertAlign w:val="subscript"/>
        </w:rPr>
        <w:t>2</w:t>
      </w:r>
      <w:r>
        <w:rPr>
          <w:rFonts w:hint="eastAsia" w:ascii="宋体" w:hAnsi="宋体" w:eastAsia="宋体" w:cs="宋体"/>
          <w:kern w:val="2"/>
          <w:sz w:val="21"/>
          <w:szCs w:val="21"/>
          <w:shd w:val="clear" w:color="auto" w:fill="FFFFFF"/>
          <w:lang w:val="en-US" w:eastAsia="zh-CN"/>
        </w:rPr>
        <w:t>条件</w:t>
      </w:r>
      <w:r>
        <w:rPr>
          <w:rFonts w:hint="eastAsia" w:ascii="宋体" w:hAnsi="宋体" w:eastAsia="宋体" w:cs="宋体"/>
          <w:kern w:val="2"/>
          <w:sz w:val="21"/>
          <w:szCs w:val="21"/>
          <w:shd w:val="clear" w:color="auto" w:fill="FFFFFF"/>
        </w:rPr>
        <w:t>下孵育2小时。</w:t>
      </w:r>
      <w:r>
        <w:rPr>
          <w:rFonts w:hint="eastAsia" w:ascii="宋体" w:hAnsi="宋体" w:eastAsia="宋体" w:cs="宋体"/>
          <w:kern w:val="2"/>
          <w:sz w:val="21"/>
          <w:szCs w:val="21"/>
          <w:shd w:val="clear" w:color="auto" w:fill="FFFFFF"/>
          <w:lang w:val="en-US" w:eastAsia="zh-CN"/>
        </w:rPr>
        <w:t>移除</w:t>
      </w:r>
      <w:r>
        <w:rPr>
          <w:rFonts w:hint="eastAsia" w:ascii="宋体" w:hAnsi="宋体" w:eastAsia="宋体" w:cs="宋体"/>
          <w:kern w:val="2"/>
          <w:sz w:val="21"/>
          <w:szCs w:val="21"/>
          <w:shd w:val="clear" w:color="auto" w:fill="FFFFFF"/>
        </w:rPr>
        <w:t>MTT培养基</w:t>
      </w:r>
      <w:r>
        <w:rPr>
          <w:rFonts w:hint="eastAsia" w:ascii="宋体" w:hAnsi="宋体" w:eastAsia="宋体" w:cs="宋体"/>
          <w:kern w:val="2"/>
          <w:sz w:val="21"/>
          <w:szCs w:val="21"/>
          <w:shd w:val="clear" w:color="auto" w:fill="FFFFFF"/>
          <w:lang w:val="en-US" w:eastAsia="zh-CN"/>
        </w:rPr>
        <w:t>后</w:t>
      </w:r>
      <w:r>
        <w:rPr>
          <w:rFonts w:hint="eastAsia" w:ascii="宋体" w:hAnsi="宋体" w:eastAsia="宋体" w:cs="宋体"/>
          <w:kern w:val="2"/>
          <w:sz w:val="21"/>
          <w:szCs w:val="21"/>
          <w:shd w:val="clear" w:color="auto" w:fill="FFFFFF"/>
        </w:rPr>
        <w:t>，</w:t>
      </w:r>
      <w:r>
        <w:rPr>
          <w:rFonts w:hint="eastAsia" w:ascii="宋体" w:hAnsi="宋体" w:eastAsia="宋体" w:cs="宋体"/>
          <w:kern w:val="2"/>
          <w:sz w:val="21"/>
          <w:szCs w:val="21"/>
          <w:shd w:val="clear" w:color="auto" w:fill="FFFFFF"/>
          <w:lang w:val="en-US" w:eastAsia="zh-CN"/>
        </w:rPr>
        <w:t>加入</w:t>
      </w:r>
      <w:r>
        <w:rPr>
          <w:rFonts w:hint="eastAsia" w:ascii="宋体" w:hAnsi="宋体" w:eastAsia="宋体" w:cs="宋体"/>
          <w:kern w:val="2"/>
          <w:sz w:val="21"/>
          <w:szCs w:val="21"/>
          <w:shd w:val="clear" w:color="auto" w:fill="FFFFFF"/>
        </w:rPr>
        <w:t>适当溶出剂</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如10%</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w/v</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十二烷基硫酸钠和0.4%</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v/v</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rPr>
        <w:t>醋酸DMSO</w:t>
      </w:r>
      <w:r>
        <w:rPr>
          <w:rFonts w:hint="eastAsia" w:ascii="宋体" w:hAnsi="宋体" w:eastAsia="宋体" w:cs="宋体"/>
          <w:kern w:val="2"/>
          <w:sz w:val="21"/>
          <w:szCs w:val="21"/>
          <w:shd w:val="clear" w:color="auto" w:fill="FFFFFF"/>
          <w:lang w:val="en-US" w:eastAsia="zh-CN"/>
        </w:rPr>
        <w:t>溶液</w:t>
      </w:r>
      <w:r>
        <w:rPr>
          <w:rFonts w:hint="eastAsia" w:ascii="宋体" w:hAnsi="宋体" w:eastAsia="宋体" w:cs="宋体"/>
          <w:kern w:val="2"/>
          <w:sz w:val="21"/>
          <w:szCs w:val="21"/>
          <w:shd w:val="clear" w:color="auto" w:fill="FFFFFF"/>
          <w:lang w:eastAsia="zh-CN"/>
        </w:rPr>
        <w:t>），</w:t>
      </w:r>
      <w:r>
        <w:rPr>
          <w:rFonts w:hint="eastAsia" w:ascii="宋体" w:hAnsi="宋体" w:eastAsia="宋体" w:cs="宋体"/>
          <w:kern w:val="2"/>
          <w:sz w:val="21"/>
          <w:szCs w:val="21"/>
          <w:shd w:val="clear" w:color="auto" w:fill="FFFFFF"/>
          <w:lang w:val="en-US" w:eastAsia="zh-CN"/>
        </w:rPr>
        <w:t>振荡并静置</w:t>
      </w:r>
      <w:r>
        <w:rPr>
          <w:rFonts w:hint="eastAsia" w:ascii="宋体" w:hAnsi="宋体" w:eastAsia="宋体" w:cs="宋体"/>
          <w:kern w:val="2"/>
          <w:sz w:val="21"/>
          <w:szCs w:val="21"/>
          <w:shd w:val="clear" w:color="auto" w:fill="FFFFFF"/>
        </w:rPr>
        <w:t>足够时间</w:t>
      </w:r>
      <w:r>
        <w:rPr>
          <w:rFonts w:hint="eastAsia" w:ascii="宋体" w:hAnsi="宋体" w:eastAsia="宋体" w:cs="宋体"/>
          <w:kern w:val="2"/>
          <w:sz w:val="21"/>
          <w:szCs w:val="21"/>
          <w:shd w:val="clear" w:color="auto" w:fill="FFFFFF"/>
          <w:lang w:val="en-US" w:eastAsia="zh-CN"/>
        </w:rPr>
        <w:t>后</w:t>
      </w:r>
      <w:r>
        <w:rPr>
          <w:rFonts w:hint="eastAsia" w:ascii="宋体" w:hAnsi="宋体" w:eastAsia="宋体" w:cs="宋体"/>
          <w:kern w:val="2"/>
          <w:sz w:val="21"/>
          <w:szCs w:val="21"/>
          <w:shd w:val="clear" w:color="auto" w:fill="FFFFFF"/>
        </w:rPr>
        <w:t>，测量吸光度</w:t>
      </w:r>
      <w:r>
        <w:rPr>
          <w:rFonts w:hint="eastAsia" w:ascii="宋体" w:hAnsi="宋体" w:eastAsia="宋体" w:cs="宋体"/>
          <w:kern w:val="2"/>
          <w:sz w:val="21"/>
          <w:szCs w:val="21"/>
          <w:shd w:val="clear" w:color="auto" w:fill="FFFFFF"/>
          <w:lang w:val="en-US" w:eastAsia="zh-CN"/>
        </w:rPr>
        <w:t>以计算细胞活力</w:t>
      </w:r>
      <w:r>
        <w:rPr>
          <w:rFonts w:hint="eastAsia" w:ascii="宋体" w:hAnsi="宋体" w:eastAsia="宋体" w:cs="宋体"/>
          <w:kern w:val="2"/>
          <w:sz w:val="21"/>
          <w:szCs w:val="21"/>
          <w:shd w:val="clear" w:color="auto" w:fill="FFFFFF"/>
        </w:rPr>
        <w:t>。</w:t>
      </w:r>
    </w:p>
    <w:p w14:paraId="5F0BB8B8">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6.2.4 荧光素酶活性试验</w:t>
      </w:r>
    </w:p>
    <w:p w14:paraId="29D2FA7E">
      <w:pPr>
        <w:widowControl/>
        <w:tabs>
          <w:tab w:val="left" w:pos="312"/>
        </w:tabs>
        <w:ind w:firstLine="420" w:firstLineChars="2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细胞在96孔板中培养24小时后，移除培养基，更换为新鲜培养基，并加入50µl受试物/对照品。受试物/对照品暴露48小时后，用磷酸盐缓冲盐水清洗细胞，向每孔加入用于荧光读数的裂解缓冲液，室温下保持20分钟。将含细胞裂解液的板置于光度计中读取，步骤如下：</w:t>
      </w:r>
    </w:p>
    <w:p w14:paraId="4C863052">
      <w:pPr>
        <w:pStyle w:val="5"/>
        <w:keepNext w:val="0"/>
        <w:keepLines w:val="0"/>
        <w:widowControl/>
        <w:numPr>
          <w:ilvl w:val="0"/>
          <w:numId w:val="2"/>
        </w:numPr>
        <w:suppressLineNumbers w:val="0"/>
        <w:tabs>
          <w:tab w:val="clear" w:pos="420"/>
        </w:tabs>
        <w:snapToGrid w:val="0"/>
        <w:spacing w:before="0" w:beforeAutospacing="0" w:after="0" w:afterAutospacing="0"/>
        <w:ind w:left="0" w:right="0" w:firstLine="420" w:firstLineChars="0"/>
        <w:jc w:val="both"/>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向每孔加入 50µl 荧光素酶底物；</w:t>
      </w:r>
    </w:p>
    <w:p w14:paraId="11E1CEA1">
      <w:pPr>
        <w:pStyle w:val="5"/>
        <w:keepNext w:val="0"/>
        <w:keepLines w:val="0"/>
        <w:widowControl/>
        <w:numPr>
          <w:ilvl w:val="0"/>
          <w:numId w:val="2"/>
        </w:numPr>
        <w:suppressLineNumbers w:val="0"/>
        <w:tabs>
          <w:tab w:val="clear" w:pos="420"/>
        </w:tabs>
        <w:snapToGrid w:val="0"/>
        <w:spacing w:before="0" w:beforeAutospacing="0" w:after="0" w:afterAutospacing="0"/>
        <w:ind w:left="0" w:right="0" w:firstLine="420" w:firstLineChars="0"/>
        <w:jc w:val="both"/>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等待1秒</w:t>
      </w:r>
      <w:r>
        <w:rPr>
          <w:rFonts w:hint="eastAsia" w:ascii="宋体" w:hAnsi="宋体" w:eastAsia="宋体" w:cs="宋体"/>
          <w:kern w:val="2"/>
          <w:sz w:val="21"/>
          <w:szCs w:val="21"/>
          <w:shd w:val="clear" w:color="auto" w:fill="FFFFFF"/>
          <w:lang w:eastAsia="zh-CN"/>
        </w:rPr>
        <w:t>；</w:t>
      </w:r>
    </w:p>
    <w:p w14:paraId="01F2D0B4">
      <w:pPr>
        <w:pStyle w:val="5"/>
        <w:keepNext w:val="0"/>
        <w:keepLines w:val="0"/>
        <w:widowControl/>
        <w:numPr>
          <w:ilvl w:val="0"/>
          <w:numId w:val="2"/>
        </w:numPr>
        <w:suppressLineNumbers w:val="0"/>
        <w:tabs>
          <w:tab w:val="clear" w:pos="420"/>
        </w:tabs>
        <w:snapToGrid w:val="0"/>
        <w:spacing w:before="0" w:beforeAutospacing="0" w:after="0" w:afterAutospacing="0"/>
        <w:ind w:left="0" w:right="0" w:firstLine="420" w:firstLineChars="0"/>
        <w:jc w:val="both"/>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整合荧光素酶活性2秒。</w:t>
      </w:r>
      <w:r>
        <w:rPr>
          <w:rFonts w:hint="eastAsia" w:cs="宋体"/>
          <w:kern w:val="2"/>
          <w:sz w:val="21"/>
          <w:szCs w:val="21"/>
          <w:shd w:val="clear" w:color="auto" w:fill="FFFFFF"/>
          <w:lang w:val="en-US" w:eastAsia="zh-CN"/>
        </w:rPr>
        <w:t>若</w:t>
      </w:r>
      <w:r>
        <w:rPr>
          <w:rFonts w:hint="eastAsia" w:ascii="宋体" w:hAnsi="宋体" w:eastAsia="宋体" w:cs="宋体"/>
          <w:kern w:val="2"/>
          <w:sz w:val="21"/>
          <w:szCs w:val="21"/>
          <w:shd w:val="clear" w:color="auto" w:fill="FFFFFF"/>
        </w:rPr>
        <w:t>使用其他设置，</w:t>
      </w:r>
      <w:r>
        <w:rPr>
          <w:rFonts w:hint="eastAsia" w:cs="宋体"/>
          <w:kern w:val="2"/>
          <w:sz w:val="21"/>
          <w:szCs w:val="21"/>
          <w:shd w:val="clear" w:color="auto" w:fill="FFFFFF"/>
          <w:lang w:val="en-US" w:eastAsia="zh-CN"/>
        </w:rPr>
        <w:t>应</w:t>
      </w:r>
      <w:r>
        <w:rPr>
          <w:rFonts w:hint="eastAsia" w:ascii="宋体" w:hAnsi="宋体" w:eastAsia="宋体" w:cs="宋体"/>
          <w:kern w:val="2"/>
          <w:sz w:val="21"/>
          <w:szCs w:val="21"/>
          <w:shd w:val="clear" w:color="auto" w:fill="FFFFFF"/>
        </w:rPr>
        <w:t>根据所</w:t>
      </w:r>
      <w:r>
        <w:rPr>
          <w:rFonts w:hint="eastAsia" w:cs="宋体"/>
          <w:kern w:val="2"/>
          <w:sz w:val="21"/>
          <w:szCs w:val="21"/>
          <w:shd w:val="clear" w:color="auto" w:fill="FFFFFF"/>
          <w:lang w:val="en-US" w:eastAsia="zh-CN"/>
        </w:rPr>
        <w:t>用</w:t>
      </w:r>
      <w:r>
        <w:rPr>
          <w:rFonts w:hint="eastAsia" w:ascii="宋体" w:hAnsi="宋体" w:eastAsia="宋体" w:cs="宋体"/>
          <w:kern w:val="2"/>
          <w:sz w:val="21"/>
          <w:szCs w:val="21"/>
          <w:shd w:val="clear" w:color="auto" w:fill="FFFFFF"/>
          <w:lang w:val="en-US" w:eastAsia="zh-CN"/>
        </w:rPr>
        <w:t>光度计</w:t>
      </w:r>
      <w:r>
        <w:rPr>
          <w:rFonts w:hint="eastAsia" w:cs="宋体"/>
          <w:kern w:val="2"/>
          <w:sz w:val="21"/>
          <w:szCs w:val="21"/>
          <w:shd w:val="clear" w:color="auto" w:fill="FFFFFF"/>
          <w:lang w:val="en-US" w:eastAsia="zh-CN"/>
        </w:rPr>
        <w:t>进行</w:t>
      </w:r>
      <w:r>
        <w:rPr>
          <w:rFonts w:hint="eastAsia" w:ascii="宋体" w:hAnsi="宋体" w:eastAsia="宋体" w:cs="宋体"/>
          <w:kern w:val="2"/>
          <w:sz w:val="21"/>
          <w:szCs w:val="21"/>
          <w:shd w:val="clear" w:color="auto" w:fill="FFFFFF"/>
          <w:lang w:val="en-US" w:eastAsia="zh-CN"/>
        </w:rPr>
        <w:t>调整</w:t>
      </w:r>
      <w:r>
        <w:rPr>
          <w:rFonts w:hint="eastAsia" w:cs="宋体"/>
          <w:kern w:val="2"/>
          <w:sz w:val="21"/>
          <w:szCs w:val="21"/>
          <w:shd w:val="clear" w:color="auto" w:fill="FFFFFF"/>
          <w:lang w:val="en-US" w:eastAsia="zh-CN"/>
        </w:rPr>
        <w:t>。</w:t>
      </w:r>
    </w:p>
    <w:p w14:paraId="10780BB8">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default"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6.3</w:t>
      </w:r>
      <w:r>
        <w:rPr>
          <w:rFonts w:hint="default" w:ascii="黑体" w:hAnsi="黑体" w:eastAsia="黑体" w:cs="黑体"/>
          <w:bCs/>
          <w:kern w:val="0"/>
          <w:sz w:val="21"/>
          <w:szCs w:val="21"/>
          <w:lang w:val="en-US" w:eastAsia="zh-CN"/>
        </w:rPr>
        <w:t xml:space="preserve"> </w:t>
      </w:r>
      <w:r>
        <w:rPr>
          <w:rFonts w:hint="eastAsia" w:ascii="黑体" w:hAnsi="黑体" w:eastAsia="黑体" w:cs="黑体"/>
          <w:bCs/>
          <w:kern w:val="0"/>
          <w:sz w:val="21"/>
          <w:szCs w:val="21"/>
          <w:lang w:val="en-US" w:eastAsia="zh-CN"/>
        </w:rPr>
        <w:t>性能标准</w:t>
      </w:r>
    </w:p>
    <w:p w14:paraId="63EC967B">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6.3.1 重复测试</w:t>
      </w:r>
    </w:p>
    <w:p w14:paraId="11B8CD7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对于每种测试化学品和阳性对照物质，需进行一次实验以得出预测（阳性或阴性），实验应包括至少两次独立重复，每次重复包含三个重复孔（即n=6）。若两次独立重复的结果不一致，则应进行第三次重复。独立重复实验应分批次进行，每次使用新鲜的测试化学品原液和独立采集的细胞（细胞可以来自同一代）。每块板至少设置一个空白孔（无细胞且无处理），用于评估基准值。</w:t>
      </w:r>
    </w:p>
    <w:p w14:paraId="72720345">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6.3.2 可接受标准</w:t>
      </w:r>
    </w:p>
    <w:p w14:paraId="0902EBE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进行基于ARE-Nrf2荧光素酶的皮肤致敏体外细胞试验时，应满足以下验收标准。如果不满足下列条件中的任何一项，则应丢弃数据并重新测试：</w:t>
      </w:r>
    </w:p>
    <w:p w14:paraId="47A253E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a）阳性对照肉桂醛至少在一个测试浓度（在4-64µmol范围内）获得的荧光素酶活性诱导应在&gt;1.5的阈值中具有统计学意义（例如使用t检验）。</w:t>
      </w:r>
    </w:p>
    <w:p w14:paraId="2FFC48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b）阳性对照的EC1.5应在定期更新的两个检测的历史平均值的标准差范围内（例如，在基于验证数据集的7µmol-30µmol之间）。此外，在64µmol时，肉桂醛的平均诱导倍数应在2~8之间。如果不满足后一个标准，应仔细检查肉桂醛的剂量反应，只有当阳性对照在增加浓度时有增加荧光素酶活性诱导的明显剂量反应时，才可接受试验。</w:t>
      </w:r>
    </w:p>
    <w:p w14:paraId="350D1D2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c）每次重复时，溶剂/载体对照（即DMSO）的发光读数的平均变异系数应低于20%。如果可变性较高，则应丢弃结果。</w:t>
      </w:r>
    </w:p>
    <w:p w14:paraId="46B4B915">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6.4</w:t>
      </w:r>
      <w:r>
        <w:rPr>
          <w:rFonts w:hint="default" w:ascii="黑体" w:hAnsi="黑体" w:eastAsia="黑体" w:cs="黑体"/>
          <w:bCs/>
          <w:kern w:val="0"/>
          <w:sz w:val="21"/>
          <w:szCs w:val="21"/>
          <w:lang w:val="en-US" w:eastAsia="zh-CN"/>
        </w:rPr>
        <w:t xml:space="preserve"> </w:t>
      </w:r>
      <w:r>
        <w:rPr>
          <w:rFonts w:hint="eastAsia" w:ascii="黑体" w:hAnsi="黑体" w:eastAsia="黑体" w:cs="黑体"/>
          <w:bCs/>
          <w:kern w:val="0"/>
          <w:sz w:val="21"/>
          <w:szCs w:val="21"/>
          <w:lang w:val="en-US" w:eastAsia="zh-CN"/>
        </w:rPr>
        <w:t>结果判定与预测模型</w:t>
      </w:r>
    </w:p>
    <w:p w14:paraId="2FB05664">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6.4.1 结果判定</w:t>
      </w:r>
    </w:p>
    <w:p w14:paraId="3E695C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对于每次荧光素酶试验预测运行，如果测试化学品在测试中连续满足下列四个条件中的任意两个条件，或在重复三次测试中获得两次相同结果，则预测结果为阳性；否则预测结果为阴性：</w:t>
      </w:r>
    </w:p>
    <w:p w14:paraId="6178DDB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a）Imax等于或高于1.5倍，与溶剂对照相比，在统计学上有显著差异；</w:t>
      </w:r>
    </w:p>
    <w:p w14:paraId="25FED14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b）在最低浓度诱导荧光素酶活性1.5倍（即EC1.5测定浓度）时，细胞活力高于（&gt;）70%；</w:t>
      </w:r>
    </w:p>
    <w:p w14:paraId="0E1C71F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c）EC1.5值小于1000µmol（或对于没有规定分子量的测试化学品&lt;200µg/mL）；</w:t>
      </w:r>
    </w:p>
    <w:p w14:paraId="2C7C033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d）荧光素酶诱导呈现剂量依赖性增加。</w:t>
      </w:r>
    </w:p>
    <w:p w14:paraId="7A9B1CF9">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6.4.2 预测模型</w:t>
      </w:r>
    </w:p>
    <w:p w14:paraId="4C5B3C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如果在给定的重复中，前三个条件（a、b、c）均满足，但未观察到荧光素酶诱导明显的剂量依赖性增加，则该重复的结果应判定为不确定，可能需要进一步测试。在最大测试浓度 &lt;1000µmol（或对于未确定分子量的测试化学品为 200µg/mL）下测试的化学品，若阴性结果是在最大测试浓度下未达到细胞毒性（细胞活力 &lt;70%），也应判定为不确定。</w:t>
      </w:r>
    </w:p>
    <w:p w14:paraId="3D5879E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 类似或修改方法的确立</w:t>
      </w:r>
    </w:p>
    <w:p w14:paraId="7E80CE43">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7.1 参考化学品清单</w:t>
      </w:r>
    </w:p>
    <w:p w14:paraId="23631AB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参考化学品用于确定一种类似或改进测试方法的可靠性和相关性。一种类似或改进的测试方法，如果证明其在结构和功能上与验证参考方法（VRM）足够类似，或只是对VRM的微小改进，该方法至少应与VRM方法相同或更好。附录A列出20种参考化学品，涵盖代表体外皮肤致敏作用的全部范围的物质，通过各种机制起作用，并且代表不同化学类别（基于官能团的化学类别）。清单包括非致敏剂和皮肤致敏剂，涵盖由LLNA EC3值确定的各种致敏效力类别（弱、中、强和极端）。这些化学品可用于评估类似或修改的试验方法的可靠性和相关性，以区分非致敏剂和皮肤致敏剂。</w:t>
      </w:r>
    </w:p>
    <w:p w14:paraId="6A2217EB">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7.2 参考化学品使用说明</w:t>
      </w:r>
    </w:p>
    <w:p w14:paraId="5745257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如果无法获得附录A所列物质，可使用其他遵循参考化学品定义标准且具有足够体内参考数据的物质，这些物质应来自VRM验证研究中使用的范围。必要时，可将代表其他化学类别并具有足够体内参考数据的其他物质添加到参考化学品清单中，以进一步评估所提议测试方法的相关性。除非出于其他合理原因无法使用，否则选择参考化学品应遵循参考化学品定义中规定的标准，并提供足够的体外参考数据，例如优先来自预验证后优化过程中使用的测试化学品，或来自VRM的验证研究。</w:t>
      </w:r>
    </w:p>
    <w:p w14:paraId="2843A22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7.3 可靠性和预测能力确认</w:t>
      </w:r>
    </w:p>
    <w:p w14:paraId="37AAE328">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7.3.1 确认要求</w:t>
      </w:r>
    </w:p>
    <w:p w14:paraId="26F2D30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为建立在体外皮肤致敏性试验指南范围内拟议的类似或修改的试验方法的可靠性和相关性，附录A中所列的所有参考化学品都应进行检测。所有基于性能标准的验证研究必须由国际认可的验证机构按照国际准则指南进行独立评估。这20种参考化学品的每一个应在至少三个实验室中进行检测。为评估实验室内的重现性，附录A中粗体标注的12种参考化学品子集应由每个参与实验室测试，每个实验室进行三个合格的实验，得出三个预测。其余8种参考化学品应由每个实验室进行一个合格的实验，以便每个实验室得出一个预测，从而为三个实验室提供总共三个预测。最后，应使用所有20种参考化学品来评估预测能力。如获得一致结果，一个合格的实验至少由两次合格的独立重复组成，如前两次结果不一致，则由第三次合格的独立重复组成。每个浓度测试包括三个重复。阴性（溶剂）对照和阳性对照化学品分别进行三次重复实验。</w:t>
      </w:r>
    </w:p>
    <w:p w14:paraId="3C4575D9">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7.3.2 方法确认的统计</w:t>
      </w:r>
    </w:p>
    <w:p w14:paraId="08F0F72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实验室内重现性、实验室间重现性、准确度、灵敏度和特异性值的计算应遵循以下规则，以确保使用预定义的一致方法：</w:t>
      </w:r>
    </w:p>
    <w:p w14:paraId="381305E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实验室内重现性（WLR）：基于每个参与实验室对附录A中粗体标记的12种参考化学品子集的分类一致性计算，使用三个合格的实验。</w:t>
      </w:r>
    </w:p>
    <w:p w14:paraId="76A4644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实验室间重现性（BLR）：基于至少三个参与实验室对附录A中所列20种参考化学品的分类一致性计算。BLR计算仅使用合格实验，基于分类一致性。每个实验室对用于WLR评估的12种物质生成三种分类（每个实验室三种预测模式得出单一最终分类），对仅用于BLR评估的8种物质各生成一个分类。</w:t>
      </w:r>
    </w:p>
    <w:p w14:paraId="73344C8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精度值：使用至少三个实验室使用20种参考化学品生成的所有合格实验计算，基于每次合格实验的预测结果。加权计算考虑20种参考化学品的不同实验数量，即同时用于BLR和WLR评估的12种物质各有9个实验，仅用于BLR评估的8种物质各有3个实验。每种物质从所有参与实验室获得的每个合格实验的最终结果在计算中作为独立分类被捕获，并应用修正因子，使所有物质在计算中权重相等。每种物质的阴性和阳性预测除以对该物质的预测总数，使每种物质的最终权重为1。</w:t>
      </w:r>
    </w:p>
    <w:p w14:paraId="6AB1DC54">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7.4 实验室内可重复性</w:t>
      </w:r>
    </w:p>
    <w:p w14:paraId="4941AB5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实验室内可重复性的评估应在单个实验室中进行。目标是在附录A中粗体标记的12种参考化学品的三个不同独立合格测试运行中，获得预测（阴性/阳性）的一致性≥80%。</w:t>
      </w:r>
    </w:p>
    <w:p w14:paraId="4D51458E">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7.5 实验室之间的可重复性</w:t>
      </w:r>
    </w:p>
    <w:p w14:paraId="05CC443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对于要在实验室之间转移的体外毒性试验方法，基于至少三个实验室对20种参考化学品的试验结果的独立测试运行中仅使用合格实验获得的预测一致性应≥80%。</w:t>
      </w:r>
    </w:p>
    <w:p w14:paraId="5C2D837E">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7.6 预测能力</w:t>
      </w:r>
    </w:p>
    <w:p w14:paraId="55DE13F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类似或经改进的体外方法的预测能力（敏感性、特异性和准确性）应等于或优于VRM得出的目标值。准确性、敏感性和特异性均应等于或高于80.0%。此外，除非能给出明确理由，否则任何强或极端的致敏剂都不应被低估为非致敏剂。</w:t>
      </w:r>
    </w:p>
    <w:p w14:paraId="328F2F04">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bCs/>
          <w:kern w:val="0"/>
          <w:sz w:val="21"/>
          <w:szCs w:val="21"/>
          <w:lang w:val="en-US" w:eastAsia="zh-CN"/>
        </w:rPr>
      </w:pPr>
      <w:r>
        <w:rPr>
          <w:rFonts w:hint="eastAsia" w:ascii="黑体" w:hAnsi="黑体" w:eastAsia="黑体" w:cs="黑体"/>
          <w:bCs/>
          <w:kern w:val="0"/>
          <w:sz w:val="21"/>
          <w:szCs w:val="21"/>
          <w:lang w:val="en-US" w:eastAsia="zh-CN"/>
        </w:rPr>
        <w:t>7.7 验证不可接受的情况</w:t>
      </w:r>
    </w:p>
    <w:p w14:paraId="578FDE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由于技术问题、同时进行的阳性和阴性对照失败等原因致使结果不符合测试接受标准（即不合格的测试），为数据补充完整，最多允许再进行两次包含阳性对照和阴性对照的运行（重新测试）。每个实验室中的每种参考化学品最多可进行两次额外运行，即每个实验室每个参考化学品的合格测试不得超过三个，更多测试不必要。不可接受的测试或运行应记录其程度，分析可能原因，形成文件并报告。</w:t>
      </w:r>
    </w:p>
    <w:p w14:paraId="5E2E259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0"/>
          <w:sz w:val="21"/>
          <w:szCs w:val="21"/>
          <w:lang w:val="en-US" w:eastAsia="zh-CN"/>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29690E2F">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sz w:val="21"/>
          <w:szCs w:val="21"/>
          <w:lang w:val="en-US" w:eastAsia="zh-CN"/>
        </w:rPr>
      </w:pPr>
      <w:bookmarkStart w:id="6" w:name="_Toc30910"/>
      <w:bookmarkStart w:id="7" w:name="_Toc12803"/>
      <w:bookmarkStart w:id="8" w:name="_Toc9618"/>
      <w:r>
        <w:rPr>
          <w:rFonts w:hint="eastAsia" w:ascii="黑体" w:hAnsi="黑体" w:eastAsia="黑体" w:cs="黑体"/>
          <w:b w:val="0"/>
          <w:bCs/>
          <w:sz w:val="21"/>
          <w:szCs w:val="21"/>
          <w:lang w:val="en-US" w:eastAsia="zh-CN"/>
        </w:rPr>
        <w:t>附录A</w:t>
      </w:r>
      <w:bookmarkEnd w:id="6"/>
      <w:bookmarkEnd w:id="7"/>
      <w:bookmarkEnd w:id="8"/>
    </w:p>
    <w:p w14:paraId="63BAC87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sz w:val="21"/>
          <w:szCs w:val="21"/>
          <w:lang w:val="en-US" w:eastAsia="zh-CN"/>
        </w:rPr>
      </w:pPr>
      <w:bookmarkStart w:id="9" w:name="_Toc26200"/>
      <w:bookmarkStart w:id="10" w:name="_Toc7375"/>
      <w:r>
        <w:rPr>
          <w:rFonts w:hint="eastAsia" w:ascii="黑体" w:hAnsi="黑体" w:eastAsia="黑体" w:cs="黑体"/>
          <w:b w:val="0"/>
          <w:bCs/>
          <w:sz w:val="21"/>
          <w:szCs w:val="21"/>
          <w:lang w:val="en-US" w:eastAsia="zh-CN"/>
        </w:rPr>
        <w:t>（资料性）</w:t>
      </w:r>
      <w:bookmarkEnd w:id="9"/>
      <w:bookmarkEnd w:id="10"/>
    </w:p>
    <w:p w14:paraId="0C3D7B0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sz w:val="21"/>
          <w:szCs w:val="21"/>
          <w:lang w:val="en-US" w:eastAsia="zh-CN"/>
        </w:rPr>
      </w:pPr>
      <w:bookmarkStart w:id="11" w:name="_Toc13315"/>
      <w:bookmarkStart w:id="12" w:name="_Toc6613"/>
      <w:r>
        <w:rPr>
          <w:rFonts w:hint="eastAsia" w:ascii="黑体" w:hAnsi="黑体" w:eastAsia="黑体" w:cs="黑体"/>
          <w:b w:val="0"/>
          <w:bCs/>
          <w:sz w:val="21"/>
          <w:szCs w:val="21"/>
          <w:lang w:val="en-US" w:eastAsia="zh-CN"/>
        </w:rPr>
        <w:t>参考化学品</w:t>
      </w:r>
      <w:bookmarkEnd w:id="11"/>
      <w:bookmarkEnd w:id="12"/>
    </w:p>
    <w:p w14:paraId="6F80087A">
      <w:pPr>
        <w:rPr>
          <w:rFonts w:hint="eastAsia"/>
          <w:lang w:val="en-US" w:eastAsia="zh-CN"/>
        </w:rPr>
      </w:pPr>
    </w:p>
    <w:p w14:paraId="0C172776">
      <w:pPr>
        <w:widowControl/>
        <w:jc w:val="center"/>
        <w:rPr>
          <w:rFonts w:hint="eastAsia" w:ascii="黑体" w:hAnsi="黑体" w:eastAsia="黑体" w:cs="黑体"/>
          <w:kern w:val="0"/>
          <w:szCs w:val="21"/>
        </w:rPr>
      </w:pPr>
      <w:r>
        <w:rPr>
          <w:rFonts w:hint="eastAsia" w:ascii="黑体" w:hAnsi="黑体" w:eastAsia="黑体" w:cs="黑体"/>
          <w:kern w:val="0"/>
          <w:szCs w:val="21"/>
          <w:highlight w:val="none"/>
        </w:rPr>
        <w:t>表</w:t>
      </w:r>
      <w:r>
        <w:rPr>
          <w:rFonts w:hint="eastAsia" w:ascii="黑体" w:hAnsi="黑体" w:eastAsia="黑体" w:cs="黑体"/>
          <w:kern w:val="0"/>
          <w:szCs w:val="21"/>
          <w:highlight w:val="none"/>
          <w:lang w:val="en-US" w:eastAsia="zh-CN"/>
        </w:rPr>
        <w:t>A.1</w:t>
      </w:r>
      <w:r>
        <w:rPr>
          <w:rFonts w:hint="eastAsia" w:ascii="黑体" w:hAnsi="黑体" w:eastAsia="黑体" w:cs="黑体"/>
          <w:kern w:val="0"/>
          <w:szCs w:val="21"/>
        </w:rPr>
        <w:t>参考化学品清单</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0"/>
        <w:gridCol w:w="1306"/>
        <w:gridCol w:w="1115"/>
        <w:gridCol w:w="2325"/>
        <w:gridCol w:w="1236"/>
      </w:tblGrid>
      <w:tr w14:paraId="7888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8" w:space="0"/>
              <w:left w:val="single" w:color="000000" w:sz="8" w:space="0"/>
              <w:bottom w:val="single" w:color="000000" w:sz="8" w:space="0"/>
              <w:right w:val="single" w:color="000000" w:sz="4" w:space="0"/>
              <w:tl2br w:val="nil"/>
              <w:tr2bl w:val="nil"/>
            </w:tcBorders>
            <w:shd w:val="clear" w:color="auto" w:fill="FFFFFF"/>
            <w:vAlign w:val="center"/>
          </w:tcPr>
          <w:p w14:paraId="2779F25B">
            <w:pPr>
              <w:widowControl/>
              <w:tabs>
                <w:tab w:val="left" w:pos="312"/>
              </w:tabs>
              <w:jc w:val="center"/>
              <w:rPr>
                <w:rFonts w:hint="eastAsia" w:ascii="宋体" w:hAnsi="宋体" w:eastAsia="宋体" w:cs="宋体"/>
                <w:b w:val="0"/>
                <w:bCs/>
                <w:color w:val="000000"/>
                <w:kern w:val="0"/>
                <w:sz w:val="18"/>
                <w:szCs w:val="18"/>
              </w:rPr>
            </w:pPr>
            <w:bookmarkStart w:id="13" w:name="OLE_LINK19" w:colFirst="3" w:colLast="3"/>
            <w:r>
              <w:rPr>
                <w:rFonts w:hint="eastAsia" w:ascii="宋体" w:hAnsi="宋体" w:eastAsia="宋体" w:cs="宋体"/>
                <w:b w:val="0"/>
                <w:bCs/>
                <w:color w:val="000000"/>
                <w:kern w:val="0"/>
                <w:sz w:val="18"/>
                <w:szCs w:val="18"/>
              </w:rPr>
              <w:t>参考</w:t>
            </w:r>
            <w:r>
              <w:rPr>
                <w:rFonts w:hint="eastAsia" w:ascii="宋体" w:hAnsi="宋体" w:eastAsia="宋体" w:cs="宋体"/>
                <w:b w:val="0"/>
                <w:bCs/>
                <w:color w:val="000000"/>
                <w:kern w:val="0"/>
                <w:sz w:val="18"/>
                <w:szCs w:val="18"/>
                <w:lang w:val="en-US" w:eastAsia="zh-CN"/>
              </w:rPr>
              <w:t>化学品</w:t>
            </w:r>
          </w:p>
        </w:tc>
        <w:tc>
          <w:tcPr>
            <w:tcW w:w="766" w:type="pct"/>
            <w:tcBorders>
              <w:top w:val="single" w:color="000000" w:sz="8" w:space="0"/>
              <w:left w:val="single" w:color="000000" w:sz="4" w:space="0"/>
              <w:bottom w:val="single" w:color="000000" w:sz="8" w:space="0"/>
              <w:right w:val="single" w:color="000000" w:sz="4" w:space="0"/>
              <w:tl2br w:val="nil"/>
              <w:tr2bl w:val="nil"/>
            </w:tcBorders>
            <w:shd w:val="clear" w:color="auto" w:fill="FFFFFF"/>
            <w:vAlign w:val="center"/>
          </w:tcPr>
          <w:p w14:paraId="01E8FDBC">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CASRN</w:t>
            </w:r>
          </w:p>
        </w:tc>
        <w:tc>
          <w:tcPr>
            <w:tcW w:w="654" w:type="pct"/>
            <w:tcBorders>
              <w:top w:val="single" w:color="000000" w:sz="8" w:space="0"/>
              <w:left w:val="single" w:color="000000" w:sz="4" w:space="0"/>
              <w:bottom w:val="single" w:color="000000" w:sz="8" w:space="0"/>
              <w:right w:val="single" w:color="000000" w:sz="4" w:space="0"/>
              <w:tl2br w:val="nil"/>
              <w:tr2bl w:val="nil"/>
            </w:tcBorders>
            <w:shd w:val="clear" w:color="auto" w:fill="FFFFFF"/>
            <w:vAlign w:val="center"/>
          </w:tcPr>
          <w:p w14:paraId="4DE6B20D">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物理状态</w:t>
            </w:r>
          </w:p>
        </w:tc>
        <w:tc>
          <w:tcPr>
            <w:tcW w:w="1364" w:type="pct"/>
            <w:tcBorders>
              <w:top w:val="single" w:color="000000" w:sz="8" w:space="0"/>
              <w:left w:val="single" w:color="000000" w:sz="4" w:space="0"/>
              <w:bottom w:val="single" w:color="000000" w:sz="8" w:space="0"/>
              <w:right w:val="single" w:color="000000" w:sz="4" w:space="0"/>
              <w:tl2br w:val="nil"/>
              <w:tr2bl w:val="nil"/>
            </w:tcBorders>
            <w:shd w:val="clear" w:color="auto" w:fill="FFFFFF"/>
            <w:vAlign w:val="center"/>
          </w:tcPr>
          <w:p w14:paraId="30B0A5A9">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体外分类</w:t>
            </w:r>
          </w:p>
        </w:tc>
        <w:tc>
          <w:tcPr>
            <w:tcW w:w="724" w:type="pct"/>
            <w:tcBorders>
              <w:top w:val="single" w:color="000000" w:sz="8" w:space="0"/>
              <w:left w:val="single" w:color="000000" w:sz="4" w:space="0"/>
              <w:bottom w:val="single" w:color="000000" w:sz="8" w:space="0"/>
              <w:right w:val="single" w:color="000000" w:sz="8" w:space="0"/>
              <w:tl2br w:val="nil"/>
              <w:tr2bl w:val="nil"/>
            </w:tcBorders>
            <w:shd w:val="clear" w:color="auto" w:fill="FFFFFF"/>
            <w:vAlign w:val="center"/>
          </w:tcPr>
          <w:p w14:paraId="6ECE3267">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基于体外的VRM预测</w:t>
            </w:r>
          </w:p>
        </w:tc>
      </w:tr>
      <w:bookmarkEnd w:id="13"/>
      <w:tr w14:paraId="3CBD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000000" w:sz="8" w:space="0"/>
              <w:left w:val="single" w:color="000000" w:sz="8" w:space="0"/>
              <w:bottom w:val="single" w:color="000000" w:sz="4" w:space="0"/>
              <w:right w:val="single" w:color="000000" w:sz="8" w:space="0"/>
              <w:tl2br w:val="nil"/>
              <w:tr2bl w:val="nil"/>
            </w:tcBorders>
            <w:shd w:val="clear" w:color="auto" w:fill="FFFFFF"/>
            <w:vAlign w:val="center"/>
          </w:tcPr>
          <w:p w14:paraId="732F130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val="0"/>
                <w:color w:val="000000"/>
                <w:kern w:val="0"/>
                <w:sz w:val="18"/>
                <w:szCs w:val="18"/>
              </w:rPr>
              <w:t>基于体外结果的非致敏剂</w:t>
            </w:r>
          </w:p>
        </w:tc>
      </w:tr>
      <w:tr w14:paraId="27BB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554BED3A">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4-甲氧基乙酰苯酮</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601626">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100-06-1</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99D16D">
            <w:pPr>
              <w:widowControl/>
              <w:tabs>
                <w:tab w:val="left" w:pos="312"/>
              </w:tabs>
              <w:jc w:val="center"/>
              <w:rPr>
                <w:rFonts w:hint="eastAsia" w:ascii="宋体" w:hAnsi="宋体" w:eastAsia="宋体" w:cs="宋体"/>
                <w:b w:val="0"/>
                <w:bCs/>
                <w:color w:val="000000"/>
                <w:kern w:val="0"/>
                <w:sz w:val="18"/>
                <w:szCs w:val="18"/>
                <w:lang w:eastAsia="zh-CN"/>
              </w:rPr>
            </w:pPr>
            <w:r>
              <w:rPr>
                <w:rFonts w:hint="eastAsia" w:ascii="宋体" w:hAnsi="宋体" w:eastAsia="宋体" w:cs="宋体"/>
                <w:b w:val="0"/>
                <w:bCs/>
                <w:color w:val="000000"/>
                <w:kern w:val="0"/>
                <w:sz w:val="18"/>
                <w:szCs w:val="18"/>
                <w:lang w:val="en-US" w:eastAsia="zh-CN"/>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2622BE">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vAlign w:val="center"/>
          </w:tcPr>
          <w:p w14:paraId="0E5AC367">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4CF6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28AA481D">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丙三醇</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58B2D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56-81-5</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215789">
            <w:pPr>
              <w:widowControl/>
              <w:tabs>
                <w:tab w:val="left" w:pos="312"/>
              </w:tabs>
              <w:jc w:val="center"/>
              <w:rPr>
                <w:rFonts w:hint="eastAsia" w:ascii="宋体" w:hAnsi="宋体" w:eastAsia="宋体" w:cs="宋体"/>
                <w:b w:val="0"/>
                <w:bCs/>
                <w:color w:val="000000"/>
                <w:kern w:val="0"/>
                <w:sz w:val="18"/>
                <w:szCs w:val="18"/>
                <w:lang w:val="en-US" w:eastAsia="zh-CN"/>
              </w:rPr>
            </w:pPr>
            <w:r>
              <w:rPr>
                <w:rFonts w:hint="eastAsia" w:ascii="宋体" w:hAnsi="宋体" w:eastAsia="宋体" w:cs="宋体"/>
                <w:b w:val="0"/>
                <w:bCs/>
                <w:color w:val="000000"/>
                <w:kern w:val="0"/>
                <w:sz w:val="18"/>
                <w:szCs w:val="18"/>
                <w:lang w:val="en-US" w:eastAsia="zh-CN"/>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96A5F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6A1BCB9A">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6343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6F873D69">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异丙醇</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688305">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67-63-0</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20B324">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D4FF89">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1EFB0655">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74D9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23A611D0">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水杨酸</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6F71E4">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69-72-7</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A754F0">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1DDD9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052037A4">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23FD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02FA52D8">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氯苯</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73000E">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108</w:t>
            </w:r>
            <w:r>
              <w:rPr>
                <w:rFonts w:hint="eastAsia" w:ascii="宋体" w:hAnsi="宋体" w:eastAsia="宋体" w:cs="宋体"/>
                <w:b w:val="0"/>
                <w:bCs/>
                <w:color w:val="000000"/>
                <w:kern w:val="0"/>
                <w:sz w:val="18"/>
                <w:szCs w:val="18"/>
              </w:rPr>
              <w:t>-90-7</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E6AE8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8FBF26">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0C2ACE2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5477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5DEFCFCA">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乳酸</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D48F28">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50-21-5</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9D2474">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8080B1">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449AC63A">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1A42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35033955">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eastAsia="zh-CN"/>
              </w:rPr>
              <w:t>水杨酸甲酯</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5F406D">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119-36-8</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728197">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449832">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非致敏剂</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6A7D159E">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7252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27C6323D">
            <w:pPr>
              <w:widowControl/>
              <w:tabs>
                <w:tab w:val="left" w:pos="312"/>
              </w:tabs>
              <w:jc w:val="center"/>
              <w:rPr>
                <w:rFonts w:hint="eastAsia" w:ascii="宋体" w:hAnsi="宋体" w:eastAsia="宋体" w:cs="宋体"/>
                <w:b w:val="0"/>
                <w:bCs w:val="0"/>
                <w:color w:val="000000"/>
                <w:kern w:val="0"/>
                <w:sz w:val="18"/>
                <w:szCs w:val="18"/>
              </w:rPr>
            </w:pPr>
            <w:bookmarkStart w:id="14" w:name="OLE_LINK18" w:colFirst="0" w:colLast="0"/>
            <w:r>
              <w:rPr>
                <w:rFonts w:hint="eastAsia" w:ascii="宋体" w:hAnsi="宋体" w:eastAsia="宋体" w:cs="宋体"/>
                <w:b w:val="0"/>
                <w:bCs w:val="0"/>
                <w:color w:val="000000"/>
                <w:kern w:val="0"/>
                <w:sz w:val="18"/>
                <w:szCs w:val="18"/>
              </w:rPr>
              <w:t>磺胺</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73CD09">
            <w:pPr>
              <w:widowControl/>
              <w:tabs>
                <w:tab w:val="left" w:pos="312"/>
              </w:tabs>
              <w:jc w:val="center"/>
              <w:rPr>
                <w:rFonts w:hint="eastAsia" w:ascii="宋体" w:hAnsi="宋体" w:eastAsia="宋体" w:cs="宋体"/>
                <w:b w:val="0"/>
                <w:bCs/>
                <w:color w:val="000000"/>
                <w:kern w:val="0"/>
                <w:sz w:val="18"/>
                <w:szCs w:val="18"/>
              </w:rPr>
            </w:pPr>
            <w:bookmarkStart w:id="15" w:name="OLE_LINK17"/>
            <w:r>
              <w:rPr>
                <w:rFonts w:hint="eastAsia" w:ascii="宋体" w:hAnsi="宋体" w:eastAsia="宋体" w:cs="宋体"/>
                <w:b w:val="0"/>
                <w:bCs/>
                <w:color w:val="000000"/>
                <w:kern w:val="0"/>
                <w:sz w:val="18"/>
                <w:szCs w:val="18"/>
              </w:rPr>
              <w:t>63-74-1</w:t>
            </w:r>
            <w:bookmarkEnd w:id="15"/>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0D3B42">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val="en-US" w:eastAsia="zh-CN"/>
              </w:rPr>
              <w:t>固</w:t>
            </w:r>
            <w:r>
              <w:rPr>
                <w:rFonts w:hint="eastAsia" w:ascii="宋体" w:hAnsi="宋体" w:eastAsia="宋体" w:cs="宋体"/>
                <w:b w:val="0"/>
                <w:bCs/>
                <w:color w:val="000000"/>
                <w:kern w:val="0"/>
                <w:sz w:val="18"/>
                <w:szCs w:val="18"/>
              </w:rPr>
              <w:t>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289583">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皮肤致敏（微弱）</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vAlign w:val="center"/>
          </w:tcPr>
          <w:p w14:paraId="6C50F6F3">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bookmarkEnd w:id="14"/>
      <w:tr w14:paraId="0FBF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000000" w:sz="4" w:space="0"/>
              <w:left w:val="single" w:color="000000" w:sz="8" w:space="0"/>
              <w:bottom w:val="single" w:color="000000" w:sz="4" w:space="0"/>
              <w:right w:val="single" w:color="000000" w:sz="8" w:space="0"/>
              <w:tl2br w:val="nil"/>
              <w:tr2bl w:val="nil"/>
            </w:tcBorders>
            <w:shd w:val="clear" w:color="auto" w:fill="FFFFFF"/>
            <w:vAlign w:val="center"/>
          </w:tcPr>
          <w:p w14:paraId="7D33814A">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基于体外结果的致敏剂</w:t>
            </w:r>
          </w:p>
        </w:tc>
      </w:tr>
      <w:tr w14:paraId="2497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6BD95964">
            <w:pPr>
              <w:widowControl/>
              <w:tabs>
                <w:tab w:val="left" w:pos="312"/>
              </w:tabs>
              <w:jc w:val="center"/>
              <w:rPr>
                <w:rFonts w:hint="eastAsia" w:ascii="宋体" w:hAnsi="宋体" w:eastAsia="宋体" w:cs="宋体"/>
                <w:b/>
                <w:bCs/>
                <w:color w:val="000000"/>
                <w:kern w:val="0"/>
                <w:sz w:val="18"/>
                <w:szCs w:val="18"/>
              </w:rPr>
            </w:pPr>
            <w:bookmarkStart w:id="16" w:name="OLE_LINK16"/>
            <w:r>
              <w:rPr>
                <w:rFonts w:hint="eastAsia" w:ascii="宋体" w:hAnsi="宋体" w:eastAsia="宋体" w:cs="宋体"/>
                <w:b/>
                <w:bCs/>
                <w:color w:val="000000"/>
                <w:kern w:val="0"/>
                <w:sz w:val="18"/>
                <w:szCs w:val="18"/>
              </w:rPr>
              <w:t>乙二醇二甲基丙烯酸酯</w:t>
            </w:r>
            <w:bookmarkEnd w:id="16"/>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BAB2C">
            <w:pPr>
              <w:widowControl/>
              <w:tabs>
                <w:tab w:val="left" w:pos="312"/>
              </w:tabs>
              <w:jc w:val="center"/>
              <w:rPr>
                <w:rFonts w:hint="eastAsia" w:ascii="宋体" w:hAnsi="宋体" w:eastAsia="宋体" w:cs="宋体"/>
                <w:b w:val="0"/>
                <w:bCs/>
                <w:color w:val="000000"/>
                <w:kern w:val="0"/>
                <w:sz w:val="18"/>
                <w:szCs w:val="18"/>
              </w:rPr>
            </w:pPr>
            <w:bookmarkStart w:id="17" w:name="OLE_LINK15"/>
            <w:r>
              <w:rPr>
                <w:rFonts w:hint="eastAsia" w:ascii="宋体" w:hAnsi="宋体" w:eastAsia="宋体" w:cs="宋体"/>
                <w:b w:val="0"/>
                <w:bCs/>
                <w:color w:val="000000"/>
                <w:kern w:val="0"/>
                <w:sz w:val="18"/>
                <w:szCs w:val="18"/>
              </w:rPr>
              <w:t>97-90-5</w:t>
            </w:r>
            <w:bookmarkEnd w:id="17"/>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8C722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E89971">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皮肤致敏（微弱）</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vAlign w:val="center"/>
          </w:tcPr>
          <w:p w14:paraId="65E79C80">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0CE5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14D14E6B">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苯甲酸苯酯</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96326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93-99-2</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6AF8F5">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9089C3">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皮肤致敏（微弱）</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7DE62A72">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4517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1FF90915">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柠檬醛</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7AA178">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5392-40-5</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4BEFB0">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F283C6">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01561F23">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76A4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223EA1E0">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4-丙烯基-2-甲氧基苯酚</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D0926C">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97-54-1</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EF5BCB7">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2A81B9">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79E74D71">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4B94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671D6FE3">
            <w:pPr>
              <w:widowControl/>
              <w:tabs>
                <w:tab w:val="left" w:pos="312"/>
              </w:tabs>
              <w:jc w:val="center"/>
              <w:rPr>
                <w:rFonts w:hint="eastAsia" w:ascii="宋体" w:hAnsi="宋体" w:eastAsia="宋体" w:cs="宋体"/>
                <w:b/>
                <w:bCs/>
                <w:color w:val="000000"/>
                <w:kern w:val="0"/>
                <w:sz w:val="18"/>
                <w:szCs w:val="18"/>
              </w:rPr>
            </w:pPr>
            <w:bookmarkStart w:id="18" w:name="OLE_LINK21"/>
            <w:r>
              <w:rPr>
                <w:rFonts w:hint="eastAsia" w:ascii="宋体" w:hAnsi="宋体" w:eastAsia="宋体" w:cs="宋体"/>
                <w:b/>
                <w:bCs/>
                <w:color w:val="000000"/>
                <w:kern w:val="0"/>
                <w:sz w:val="18"/>
                <w:szCs w:val="18"/>
              </w:rPr>
              <w:t>溴菌腈</w:t>
            </w:r>
            <w:bookmarkEnd w:id="18"/>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05CCF5">
            <w:pPr>
              <w:widowControl/>
              <w:tabs>
                <w:tab w:val="left" w:pos="312"/>
              </w:tabs>
              <w:jc w:val="center"/>
              <w:rPr>
                <w:rFonts w:hint="eastAsia" w:ascii="宋体" w:hAnsi="宋体" w:eastAsia="宋体" w:cs="宋体"/>
                <w:b w:val="0"/>
                <w:bCs/>
                <w:color w:val="000000"/>
                <w:kern w:val="0"/>
                <w:sz w:val="18"/>
                <w:szCs w:val="18"/>
              </w:rPr>
            </w:pPr>
            <w:bookmarkStart w:id="19" w:name="OLE_LINK23"/>
            <w:r>
              <w:rPr>
                <w:rFonts w:hint="eastAsia" w:ascii="宋体" w:hAnsi="宋体" w:eastAsia="宋体" w:cs="宋体"/>
                <w:b w:val="0"/>
                <w:bCs/>
                <w:color w:val="000000"/>
                <w:kern w:val="0"/>
                <w:sz w:val="18"/>
                <w:szCs w:val="18"/>
              </w:rPr>
              <w:t>35691-65-7</w:t>
            </w:r>
            <w:bookmarkEnd w:id="19"/>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D8B5B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5CF3AC">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皮肤致敏（强烈）</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47CF02D0">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79EA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3F5460CE">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对苯二胺</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397138">
            <w:pPr>
              <w:widowControl/>
              <w:tabs>
                <w:tab w:val="left" w:pos="312"/>
              </w:tabs>
              <w:jc w:val="center"/>
              <w:rPr>
                <w:rFonts w:hint="eastAsia" w:ascii="宋体" w:hAnsi="宋体" w:eastAsia="宋体" w:cs="宋体"/>
                <w:b w:val="0"/>
                <w:bCs/>
                <w:color w:val="000000"/>
                <w:kern w:val="0"/>
                <w:sz w:val="18"/>
                <w:szCs w:val="18"/>
              </w:rPr>
            </w:pPr>
            <w:bookmarkStart w:id="20" w:name="OLE_LINK22"/>
            <w:r>
              <w:rPr>
                <w:rFonts w:hint="eastAsia" w:ascii="宋体" w:hAnsi="宋体" w:eastAsia="宋体" w:cs="宋体"/>
                <w:b w:val="0"/>
                <w:bCs/>
                <w:color w:val="000000"/>
                <w:kern w:val="0"/>
                <w:sz w:val="18"/>
                <w:szCs w:val="18"/>
              </w:rPr>
              <w:t>106-50-3</w:t>
            </w:r>
            <w:bookmarkEnd w:id="20"/>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8F7433">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8C838E">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皮肤致敏（强烈/中等）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069A833C">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2ED6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7BE40EE5">
            <w:pPr>
              <w:widowControl/>
              <w:tabs>
                <w:tab w:val="left" w:pos="312"/>
              </w:tabs>
              <w:jc w:val="center"/>
              <w:rPr>
                <w:rFonts w:hint="eastAsia" w:ascii="宋体" w:hAnsi="宋体" w:eastAsia="宋体" w:cs="宋体"/>
                <w:b/>
                <w:bCs/>
                <w:color w:val="000000"/>
                <w:kern w:val="0"/>
                <w:sz w:val="18"/>
                <w:szCs w:val="18"/>
              </w:rPr>
            </w:pPr>
            <w:bookmarkStart w:id="21" w:name="OLE_LINK24"/>
            <w:r>
              <w:rPr>
                <w:rFonts w:hint="eastAsia" w:ascii="宋体" w:hAnsi="宋体" w:eastAsia="宋体" w:cs="宋体"/>
                <w:b/>
                <w:bCs/>
                <w:color w:val="000000"/>
                <w:kern w:val="0"/>
                <w:sz w:val="18"/>
                <w:szCs w:val="18"/>
              </w:rPr>
              <w:t>2</w:t>
            </w:r>
            <w:r>
              <w:rPr>
                <w:rFonts w:hint="eastAsia" w:ascii="宋体" w:hAnsi="宋体" w:eastAsia="宋体" w:cs="宋体"/>
                <w:b/>
                <w:bCs/>
                <w:color w:val="000000"/>
                <w:kern w:val="0"/>
                <w:sz w:val="18"/>
                <w:szCs w:val="18"/>
                <w:lang w:val="en-US" w:eastAsia="zh-CN"/>
              </w:rPr>
              <w:t>,</w:t>
            </w:r>
            <w:r>
              <w:rPr>
                <w:rFonts w:hint="eastAsia" w:ascii="宋体" w:hAnsi="宋体" w:eastAsia="宋体" w:cs="宋体"/>
                <w:b/>
                <w:bCs/>
                <w:color w:val="000000"/>
                <w:kern w:val="0"/>
                <w:sz w:val="18"/>
                <w:szCs w:val="18"/>
              </w:rPr>
              <w:t>4-二硝基氯苯</w:t>
            </w:r>
            <w:bookmarkEnd w:id="21"/>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93DDEC">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97-00-7</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CB43FC">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C36E55">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1851EB8C">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490E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5CAE4FEA">
            <w:pPr>
              <w:widowControl/>
              <w:tabs>
                <w:tab w:val="left" w:pos="312"/>
              </w:tabs>
              <w:jc w:val="center"/>
              <w:rPr>
                <w:rFonts w:hint="eastAsia" w:ascii="宋体" w:hAnsi="宋体" w:eastAsia="宋体" w:cs="宋体"/>
                <w:b/>
                <w:bCs/>
                <w:color w:val="000000"/>
                <w:kern w:val="0"/>
                <w:sz w:val="18"/>
                <w:szCs w:val="18"/>
              </w:rPr>
            </w:pPr>
            <w:r>
              <w:rPr>
                <w:rFonts w:hint="eastAsia" w:ascii="宋体" w:hAnsi="宋体" w:eastAsia="宋体" w:cs="宋体"/>
                <w:b/>
                <w:bCs/>
                <w:color w:val="000000"/>
                <w:sz w:val="18"/>
                <w:szCs w:val="18"/>
              </w:rPr>
              <w:fldChar w:fldCharType="begin"/>
            </w:r>
            <w:r>
              <w:rPr>
                <w:rFonts w:hint="eastAsia" w:ascii="宋体" w:hAnsi="宋体" w:eastAsia="宋体" w:cs="宋体"/>
                <w:b/>
                <w:bCs/>
                <w:color w:val="000000"/>
                <w:sz w:val="18"/>
                <w:szCs w:val="18"/>
              </w:rPr>
              <w:instrText xml:space="preserve"> HYPERLINK "http://www.baidu.com/link?url=n6YATmPJ39lzKsJEGqhAuD3sfHE7QX82zySSCw48HCqnXP7RkHNmGbRgmVctyq2c" \t "https://www.baidu.com/_blank" </w:instrText>
            </w:r>
            <w:r>
              <w:rPr>
                <w:rFonts w:hint="eastAsia" w:ascii="宋体" w:hAnsi="宋体" w:eastAsia="宋体" w:cs="宋体"/>
                <w:b/>
                <w:bCs/>
                <w:color w:val="000000"/>
                <w:sz w:val="18"/>
                <w:szCs w:val="18"/>
              </w:rPr>
              <w:fldChar w:fldCharType="separate"/>
            </w:r>
            <w:r>
              <w:rPr>
                <w:rFonts w:hint="eastAsia" w:ascii="宋体" w:hAnsi="宋体" w:eastAsia="宋体" w:cs="宋体"/>
                <w:b/>
                <w:bCs/>
                <w:color w:val="000000"/>
                <w:kern w:val="0"/>
                <w:sz w:val="18"/>
                <w:szCs w:val="18"/>
              </w:rPr>
              <w:t>4-硝基苄基溴</w:t>
            </w:r>
            <w:r>
              <w:rPr>
                <w:rFonts w:hint="eastAsia" w:ascii="宋体" w:hAnsi="宋体" w:eastAsia="宋体" w:cs="宋体"/>
                <w:b/>
                <w:bCs/>
                <w:color w:val="000000"/>
                <w:kern w:val="0"/>
                <w:sz w:val="18"/>
                <w:szCs w:val="18"/>
              </w:rPr>
              <w:fldChar w:fldCharType="end"/>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31A2D2">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100-11-8</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CD6060">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629AB3">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520432AA">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7221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0B15B2AE">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丁香油酚</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C36C94">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97-53-0</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06282D">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液体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DA433E">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皮肤致敏（微弱）</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59E4D9F4">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阴性</w:t>
            </w:r>
          </w:p>
        </w:tc>
      </w:tr>
      <w:tr w14:paraId="0CA8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2E3E37C6">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2-巯基苯并噻唑</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01E706">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149-30-4</w:t>
            </w:r>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25A01F">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4A8FA3">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皮肤致敏（中等）</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37DC5B09">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7450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4" w:space="0"/>
              <w:right w:val="single" w:color="000000" w:sz="4" w:space="0"/>
              <w:tl2br w:val="nil"/>
              <w:tr2bl w:val="nil"/>
            </w:tcBorders>
            <w:shd w:val="clear" w:color="auto" w:fill="FFFFFF"/>
            <w:vAlign w:val="center"/>
          </w:tcPr>
          <w:p w14:paraId="5990333E">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4-甲基氨基酚硫酸盐</w:t>
            </w:r>
          </w:p>
        </w:tc>
        <w:tc>
          <w:tcPr>
            <w:tcW w:w="76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2CC981">
            <w:pPr>
              <w:widowControl/>
              <w:tabs>
                <w:tab w:val="left" w:pos="312"/>
              </w:tabs>
              <w:jc w:val="center"/>
              <w:rPr>
                <w:rFonts w:hint="eastAsia" w:ascii="宋体" w:hAnsi="宋体" w:eastAsia="宋体" w:cs="宋体"/>
                <w:b w:val="0"/>
                <w:bCs/>
                <w:color w:val="000000"/>
                <w:kern w:val="0"/>
                <w:sz w:val="18"/>
                <w:szCs w:val="18"/>
              </w:rPr>
            </w:pPr>
            <w:bookmarkStart w:id="22" w:name="OLE_LINK20"/>
            <w:r>
              <w:rPr>
                <w:rFonts w:hint="eastAsia" w:ascii="宋体" w:hAnsi="宋体" w:eastAsia="宋体" w:cs="宋体"/>
                <w:b w:val="0"/>
                <w:bCs/>
                <w:color w:val="000000"/>
                <w:kern w:val="0"/>
                <w:sz w:val="18"/>
                <w:szCs w:val="18"/>
              </w:rPr>
              <w:t>55-55-0</w:t>
            </w:r>
            <w:bookmarkEnd w:id="22"/>
          </w:p>
        </w:tc>
        <w:tc>
          <w:tcPr>
            <w:tcW w:w="65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01AE6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6758CB">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皮肤致敏（强烈）</w:t>
            </w:r>
          </w:p>
        </w:tc>
        <w:tc>
          <w:tcPr>
            <w:tcW w:w="724" w:type="pct"/>
            <w:tcBorders>
              <w:top w:val="single" w:color="000000" w:sz="4" w:space="0"/>
              <w:left w:val="single" w:color="000000" w:sz="4" w:space="0"/>
              <w:bottom w:val="single" w:color="000000" w:sz="4" w:space="0"/>
              <w:right w:val="single" w:color="000000" w:sz="8" w:space="0"/>
              <w:tl2br w:val="nil"/>
              <w:tr2bl w:val="nil"/>
            </w:tcBorders>
            <w:shd w:val="clear" w:color="auto" w:fill="FFFFFF"/>
          </w:tcPr>
          <w:p w14:paraId="3E7E3B23">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r w14:paraId="5F3A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1" w:type="pct"/>
            <w:tcBorders>
              <w:top w:val="single" w:color="000000" w:sz="4" w:space="0"/>
              <w:left w:val="single" w:color="000000" w:sz="8" w:space="0"/>
              <w:bottom w:val="single" w:color="000000" w:sz="8" w:space="0"/>
              <w:right w:val="single" w:color="000000" w:sz="4" w:space="0"/>
              <w:tl2br w:val="nil"/>
              <w:tr2bl w:val="nil"/>
            </w:tcBorders>
            <w:shd w:val="clear" w:color="auto" w:fill="FFFFFF"/>
            <w:vAlign w:val="center"/>
          </w:tcPr>
          <w:p w14:paraId="25E46CBC">
            <w:pPr>
              <w:widowControl/>
              <w:tabs>
                <w:tab w:val="left" w:pos="312"/>
              </w:tabs>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氧氮杂茂酮</w:t>
            </w:r>
          </w:p>
        </w:tc>
        <w:tc>
          <w:tcPr>
            <w:tcW w:w="766" w:type="pct"/>
            <w:tcBorders>
              <w:top w:val="single" w:color="000000" w:sz="4" w:space="0"/>
              <w:left w:val="single" w:color="000000" w:sz="4" w:space="0"/>
              <w:bottom w:val="single" w:color="000000" w:sz="8" w:space="0"/>
              <w:right w:val="single" w:color="000000" w:sz="4" w:space="0"/>
              <w:tl2br w:val="nil"/>
              <w:tr2bl w:val="nil"/>
            </w:tcBorders>
            <w:shd w:val="clear" w:color="auto" w:fill="FFFFFF"/>
            <w:vAlign w:val="center"/>
          </w:tcPr>
          <w:p w14:paraId="65ECC1BB">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15646-46-5</w:t>
            </w:r>
          </w:p>
        </w:tc>
        <w:tc>
          <w:tcPr>
            <w:tcW w:w="654" w:type="pct"/>
            <w:tcBorders>
              <w:top w:val="single" w:color="000000" w:sz="4" w:space="0"/>
              <w:left w:val="single" w:color="000000" w:sz="4" w:space="0"/>
              <w:bottom w:val="single" w:color="000000" w:sz="8" w:space="0"/>
              <w:right w:val="single" w:color="000000" w:sz="4" w:space="0"/>
              <w:tl2br w:val="nil"/>
              <w:tr2bl w:val="nil"/>
            </w:tcBorders>
            <w:shd w:val="clear" w:color="auto" w:fill="FFFFFF"/>
            <w:vAlign w:val="center"/>
          </w:tcPr>
          <w:p w14:paraId="2820F093">
            <w:pPr>
              <w:widowControl/>
              <w:tabs>
                <w:tab w:val="left" w:pos="312"/>
              </w:tabs>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固体</w:t>
            </w:r>
          </w:p>
        </w:tc>
        <w:tc>
          <w:tcPr>
            <w:tcW w:w="1364" w:type="pct"/>
            <w:tcBorders>
              <w:top w:val="single" w:color="000000" w:sz="4" w:space="0"/>
              <w:left w:val="single" w:color="000000" w:sz="4" w:space="0"/>
              <w:bottom w:val="single" w:color="000000" w:sz="8" w:space="0"/>
              <w:right w:val="single" w:color="000000" w:sz="4" w:space="0"/>
              <w:tl2br w:val="nil"/>
              <w:tr2bl w:val="nil"/>
            </w:tcBorders>
            <w:shd w:val="clear" w:color="auto" w:fill="FFFFFF"/>
            <w:vAlign w:val="center"/>
          </w:tcPr>
          <w:p w14:paraId="6F81A999">
            <w:pPr>
              <w:widowControl/>
              <w:jc w:val="center"/>
              <w:rPr>
                <w:rFonts w:hint="eastAsia" w:ascii="宋体" w:hAnsi="宋体" w:eastAsia="宋体" w:cs="宋体"/>
                <w:b w:val="0"/>
                <w:bCs/>
                <w:i/>
                <w:iCs/>
                <w:color w:val="000000"/>
                <w:kern w:val="0"/>
                <w:sz w:val="18"/>
                <w:szCs w:val="18"/>
                <w:lang w:bidi="ar"/>
              </w:rPr>
            </w:pPr>
            <w:r>
              <w:rPr>
                <w:rFonts w:hint="eastAsia" w:ascii="宋体" w:hAnsi="宋体" w:eastAsia="宋体" w:cs="宋体"/>
                <w:b w:val="0"/>
                <w:bCs/>
                <w:i/>
                <w:iCs/>
                <w:color w:val="000000"/>
                <w:kern w:val="0"/>
                <w:sz w:val="18"/>
                <w:szCs w:val="18"/>
                <w:lang w:bidi="ar"/>
              </w:rPr>
              <w:t>皮肤致敏（极端）</w:t>
            </w:r>
          </w:p>
        </w:tc>
        <w:tc>
          <w:tcPr>
            <w:tcW w:w="724" w:type="pct"/>
            <w:tcBorders>
              <w:top w:val="single" w:color="000000" w:sz="4" w:space="0"/>
              <w:left w:val="single" w:color="000000" w:sz="4" w:space="0"/>
              <w:bottom w:val="single" w:color="000000" w:sz="8" w:space="0"/>
              <w:right w:val="single" w:color="000000" w:sz="8" w:space="0"/>
              <w:tl2br w:val="nil"/>
              <w:tr2bl w:val="nil"/>
            </w:tcBorders>
            <w:shd w:val="clear" w:color="auto" w:fill="FFFFFF"/>
            <w:vAlign w:val="center"/>
          </w:tcPr>
          <w:p w14:paraId="405CD6D7">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阳性</w:t>
            </w:r>
          </w:p>
        </w:tc>
      </w:tr>
    </w:tbl>
    <w:p w14:paraId="48EB729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0"/>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336F5E6">
      <w:pPr>
        <w:ind w:firstLine="0" w:firstLineChars="0"/>
        <w:jc w:val="center"/>
        <w:outlineLvl w:val="0"/>
        <w:rPr>
          <w:rFonts w:hint="eastAsia" w:ascii="黑体" w:hAnsi="黑体" w:eastAsia="黑体" w:cs="黑体"/>
          <w:b w:val="0"/>
          <w:bCs w:val="0"/>
          <w:lang w:val="en-US" w:eastAsia="zh-CN"/>
        </w:rPr>
      </w:pPr>
      <w:bookmarkStart w:id="23" w:name="_Toc5327"/>
      <w:bookmarkStart w:id="24" w:name="_Toc25410"/>
      <w:r>
        <w:rPr>
          <w:rFonts w:hint="eastAsia" w:ascii="黑体" w:hAnsi="黑体" w:eastAsia="黑体" w:cs="黑体"/>
          <w:b w:val="0"/>
          <w:bCs w:val="0"/>
          <w:lang w:val="en-US" w:eastAsia="zh-CN"/>
        </w:rPr>
        <w:t>附录B</w:t>
      </w:r>
      <w:bookmarkEnd w:id="23"/>
      <w:bookmarkEnd w:id="24"/>
    </w:p>
    <w:p w14:paraId="658985E1">
      <w:pPr>
        <w:jc w:val="center"/>
        <w:outlineLvl w:val="0"/>
        <w:rPr>
          <w:rFonts w:hint="eastAsia" w:ascii="黑体" w:hAnsi="黑体" w:eastAsia="黑体" w:cs="黑体"/>
          <w:spacing w:val="0"/>
          <w:sz w:val="21"/>
          <w:szCs w:val="21"/>
          <w:lang w:eastAsia="zh-CN"/>
        </w:rPr>
      </w:pPr>
      <w:bookmarkStart w:id="25" w:name="_Toc20764"/>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资料性</w:t>
      </w:r>
      <w:r>
        <w:rPr>
          <w:rFonts w:hint="eastAsia" w:ascii="黑体" w:hAnsi="黑体" w:eastAsia="黑体" w:cs="黑体"/>
          <w:spacing w:val="0"/>
          <w:sz w:val="21"/>
          <w:szCs w:val="21"/>
          <w:lang w:eastAsia="zh-CN"/>
        </w:rPr>
        <w:t>）</w:t>
      </w:r>
      <w:bookmarkEnd w:id="25"/>
    </w:p>
    <w:p w14:paraId="7C670851">
      <w:pPr>
        <w:jc w:val="center"/>
        <w:outlineLvl w:val="0"/>
        <w:rPr>
          <w:rFonts w:hint="eastAsia" w:ascii="黑体" w:hAnsi="黑体" w:eastAsia="黑体" w:cs="黑体"/>
          <w:spacing w:val="0"/>
          <w:sz w:val="21"/>
          <w:szCs w:val="21"/>
        </w:rPr>
      </w:pPr>
      <w:bookmarkStart w:id="26" w:name="_Toc26038"/>
      <w:r>
        <w:rPr>
          <w:rFonts w:hint="eastAsia" w:ascii="黑体" w:hAnsi="黑体" w:eastAsia="黑体" w:cs="黑体"/>
          <w:spacing w:val="0"/>
          <w:sz w:val="21"/>
          <w:szCs w:val="21"/>
          <w:lang w:val="en-US" w:eastAsia="zh-CN"/>
        </w:rPr>
        <w:t>荧光</w:t>
      </w:r>
      <w:r>
        <w:rPr>
          <w:rFonts w:hint="eastAsia" w:ascii="黑体" w:hAnsi="黑体" w:eastAsia="黑体" w:cs="黑体"/>
          <w:spacing w:val="0"/>
          <w:sz w:val="21"/>
          <w:szCs w:val="21"/>
        </w:rPr>
        <w:t>测量的质量控制</w:t>
      </w:r>
      <w:bookmarkEnd w:id="26"/>
    </w:p>
    <w:p w14:paraId="51C39882">
      <w:pPr>
        <w:jc w:val="center"/>
        <w:outlineLvl w:val="0"/>
        <w:rPr>
          <w:rFonts w:hint="eastAsia" w:ascii="黑体" w:hAnsi="黑体" w:eastAsia="黑体" w:cs="黑体"/>
          <w:spacing w:val="0"/>
          <w:sz w:val="21"/>
          <w:szCs w:val="21"/>
        </w:rPr>
      </w:pPr>
    </w:p>
    <w:p w14:paraId="4F5505F1">
      <w:pPr>
        <w:jc w:val="both"/>
        <w:rPr>
          <w:rFonts w:hint="eastAsia" w:ascii="黑体" w:hAnsi="黑体" w:eastAsia="黑体" w:cs="黑体"/>
          <w:spacing w:val="0"/>
          <w:szCs w:val="21"/>
          <w:u w:val="none"/>
        </w:rPr>
      </w:pPr>
      <w:r>
        <w:rPr>
          <w:rFonts w:hint="eastAsia" w:ascii="黑体" w:hAnsi="黑体" w:eastAsia="黑体" w:cs="黑体"/>
          <w:lang w:val="en-US" w:eastAsia="zh-CN"/>
        </w:rPr>
        <w:t>B.1</w:t>
      </w:r>
      <w:r>
        <w:rPr>
          <w:rFonts w:hint="eastAsia" w:ascii="黑体" w:hAnsi="黑体" w:eastAsia="黑体" w:cs="黑体"/>
        </w:rPr>
        <w:t>以</w:t>
      </w:r>
      <w:r>
        <w:rPr>
          <w:rFonts w:hint="eastAsia" w:ascii="黑体" w:hAnsi="黑体" w:eastAsia="黑体" w:cs="黑体"/>
          <w:spacing w:val="0"/>
          <w:szCs w:val="21"/>
          <w:u w:val="none"/>
        </w:rPr>
        <w:t>下三个参数对于确保光度计获得可靠结果至关重要：</w:t>
      </w:r>
    </w:p>
    <w:p w14:paraId="7A1C31FB">
      <w:pPr>
        <w:numPr>
          <w:ilvl w:val="0"/>
          <w:numId w:val="3"/>
        </w:numPr>
        <w:jc w:val="both"/>
        <w:rPr>
          <w:rFonts w:hint="default" w:ascii="Times New Roman" w:hAnsi="Times New Roman" w:eastAsia="宋体" w:cs="Times New Roman"/>
          <w:spacing w:val="0"/>
          <w:szCs w:val="21"/>
          <w:u w:val="none"/>
        </w:rPr>
      </w:pPr>
      <w:r>
        <w:rPr>
          <w:rFonts w:hint="default" w:ascii="Times New Roman" w:hAnsi="Times New Roman" w:eastAsia="宋体" w:cs="Times New Roman"/>
          <w:spacing w:val="0"/>
          <w:szCs w:val="21"/>
          <w:u w:val="none"/>
        </w:rPr>
        <w:t>具有足够的灵敏度，在</w:t>
      </w:r>
      <w:r>
        <w:rPr>
          <w:rFonts w:hint="default" w:ascii="Times New Roman" w:hAnsi="Times New Roman" w:eastAsia="宋体" w:cs="Times New Roman"/>
          <w:spacing w:val="0"/>
          <w:szCs w:val="21"/>
          <w:u w:val="none"/>
          <w:lang w:val="en-US" w:eastAsia="zh-CN"/>
        </w:rPr>
        <w:t>板孔中</w:t>
      </w:r>
      <w:r>
        <w:rPr>
          <w:rFonts w:hint="default" w:ascii="Times New Roman" w:hAnsi="Times New Roman" w:eastAsia="宋体" w:cs="Times New Roman"/>
          <w:spacing w:val="0"/>
          <w:szCs w:val="21"/>
          <w:u w:val="none"/>
        </w:rPr>
        <w:t>提供稳定的</w:t>
      </w:r>
      <w:r>
        <w:rPr>
          <w:rFonts w:hint="default" w:ascii="Times New Roman" w:hAnsi="Times New Roman" w:eastAsia="宋体" w:cs="Times New Roman"/>
          <w:kern w:val="2"/>
          <w:szCs w:val="21"/>
          <w:u w:val="none"/>
        </w:rPr>
        <w:t>背景</w:t>
      </w:r>
      <w:r>
        <w:rPr>
          <w:rFonts w:hint="default" w:ascii="Times New Roman" w:hAnsi="Times New Roman" w:eastAsia="宋体" w:cs="Times New Roman"/>
          <w:spacing w:val="0"/>
          <w:szCs w:val="21"/>
          <w:u w:val="none"/>
        </w:rPr>
        <w:t>；</w:t>
      </w:r>
    </w:p>
    <w:p w14:paraId="4AE42BDF">
      <w:pPr>
        <w:numPr>
          <w:ilvl w:val="0"/>
          <w:numId w:val="3"/>
        </w:numPr>
        <w:jc w:val="both"/>
        <w:rPr>
          <w:rFonts w:hint="default" w:ascii="Times New Roman" w:hAnsi="Times New Roman" w:eastAsia="宋体" w:cs="Times New Roman"/>
          <w:spacing w:val="0"/>
          <w:szCs w:val="21"/>
          <w:u w:val="none"/>
        </w:rPr>
      </w:pPr>
      <w:r>
        <w:rPr>
          <w:rFonts w:hint="default" w:ascii="Times New Roman" w:hAnsi="Times New Roman" w:eastAsia="宋体" w:cs="Times New Roman"/>
          <w:spacing w:val="0"/>
          <w:szCs w:val="21"/>
          <w:u w:val="none"/>
        </w:rPr>
        <w:t>由于长时间</w:t>
      </w:r>
      <w:r>
        <w:rPr>
          <w:rFonts w:hint="default" w:ascii="Times New Roman" w:hAnsi="Times New Roman" w:eastAsia="宋体" w:cs="Times New Roman"/>
          <w:spacing w:val="0"/>
          <w:szCs w:val="21"/>
          <w:u w:val="none"/>
          <w:lang w:val="en-US" w:eastAsia="zh-CN"/>
        </w:rPr>
        <w:t>孵育</w:t>
      </w:r>
      <w:r>
        <w:rPr>
          <w:rFonts w:hint="default" w:ascii="Times New Roman" w:hAnsi="Times New Roman" w:eastAsia="宋体" w:cs="Times New Roman"/>
          <w:spacing w:val="0"/>
          <w:szCs w:val="21"/>
          <w:u w:val="none"/>
        </w:rPr>
        <w:t>而在平板上没有梯度</w:t>
      </w:r>
      <w:r>
        <w:rPr>
          <w:rFonts w:hint="default" w:ascii="Times New Roman" w:hAnsi="Times New Roman" w:eastAsia="宋体" w:cs="Times New Roman"/>
          <w:spacing w:val="0"/>
          <w:szCs w:val="21"/>
          <w:u w:val="none"/>
          <w:lang w:val="en-US" w:eastAsia="zh-CN"/>
        </w:rPr>
        <w:t>变化</w:t>
      </w:r>
      <w:r>
        <w:rPr>
          <w:rFonts w:hint="default" w:ascii="Times New Roman" w:hAnsi="Times New Roman" w:eastAsia="宋体" w:cs="Times New Roman"/>
          <w:spacing w:val="0"/>
          <w:szCs w:val="21"/>
          <w:u w:val="none"/>
        </w:rPr>
        <w:t>；</w:t>
      </w:r>
    </w:p>
    <w:p w14:paraId="3953287C">
      <w:pPr>
        <w:numPr>
          <w:ilvl w:val="0"/>
          <w:numId w:val="3"/>
        </w:numPr>
        <w:jc w:val="both"/>
        <w:rPr>
          <w:rFonts w:hint="default" w:ascii="Times New Roman" w:hAnsi="Times New Roman" w:eastAsia="宋体" w:cs="Times New Roman"/>
          <w:szCs w:val="21"/>
        </w:rPr>
      </w:pPr>
      <w:r>
        <w:rPr>
          <w:rFonts w:hint="default" w:ascii="Times New Roman" w:hAnsi="Times New Roman" w:eastAsia="宋体" w:cs="Times New Roman"/>
          <w:spacing w:val="0"/>
          <w:szCs w:val="21"/>
          <w:u w:val="none"/>
        </w:rPr>
        <w:t>在来自</w:t>
      </w:r>
      <w:r>
        <w:rPr>
          <w:rFonts w:hint="default" w:ascii="Times New Roman" w:hAnsi="Times New Roman" w:eastAsia="宋体" w:cs="Times New Roman"/>
          <w:szCs w:val="21"/>
        </w:rPr>
        <w:t>强活性</w:t>
      </w:r>
      <w:r>
        <w:rPr>
          <w:rFonts w:hint="default" w:ascii="Times New Roman" w:hAnsi="Times New Roman" w:eastAsia="宋体" w:cs="Times New Roman"/>
          <w:szCs w:val="21"/>
          <w:lang w:val="en-US" w:eastAsia="zh-CN"/>
        </w:rPr>
        <w:t>孔</w:t>
      </w:r>
      <w:r>
        <w:rPr>
          <w:rFonts w:hint="default" w:ascii="Times New Roman" w:hAnsi="Times New Roman" w:eastAsia="宋体" w:cs="Times New Roman"/>
          <w:szCs w:val="21"/>
        </w:rPr>
        <w:t>的相邻</w:t>
      </w:r>
      <w:r>
        <w:rPr>
          <w:rFonts w:hint="default" w:ascii="Times New Roman" w:hAnsi="Times New Roman" w:eastAsia="宋体" w:cs="Times New Roman"/>
          <w:szCs w:val="21"/>
          <w:lang w:val="en-US" w:eastAsia="zh-CN"/>
        </w:rPr>
        <w:t>孔</w:t>
      </w:r>
      <w:r>
        <w:rPr>
          <w:rFonts w:hint="default" w:ascii="Times New Roman" w:hAnsi="Times New Roman" w:eastAsia="宋体" w:cs="Times New Roman"/>
          <w:szCs w:val="21"/>
        </w:rPr>
        <w:t>中没有光污染</w:t>
      </w:r>
      <w:r>
        <w:rPr>
          <w:rFonts w:hint="eastAsia" w:ascii="Times New Roman" w:hAnsi="Times New Roman" w:eastAsia="宋体" w:cs="Times New Roman"/>
          <w:szCs w:val="21"/>
          <w:lang w:eastAsia="zh-CN"/>
        </w:rPr>
        <w:t>。</w:t>
      </w:r>
    </w:p>
    <w:p w14:paraId="041426EF">
      <w:pPr>
        <w:numPr>
          <w:ilvl w:val="0"/>
          <w:numId w:val="0"/>
        </w:numPr>
        <w:tabs>
          <w:tab w:val="left" w:pos="0"/>
        </w:tabs>
        <w:jc w:val="both"/>
        <w:rPr>
          <w:rFonts w:hint="default" w:ascii="Times New Roman" w:hAnsi="Times New Roman" w:eastAsia="宋体" w:cs="Times New Roman"/>
          <w:szCs w:val="21"/>
        </w:rPr>
      </w:pPr>
    </w:p>
    <w:p w14:paraId="29974143">
      <w:pPr>
        <w:rPr>
          <w:rFonts w:hint="eastAsia" w:ascii="黑体" w:hAnsi="黑体" w:eastAsia="黑体" w:cs="黑体"/>
          <w:kern w:val="0"/>
          <w:szCs w:val="21"/>
          <w:u w:val="none"/>
        </w:rPr>
      </w:pPr>
      <w:r>
        <w:rPr>
          <w:rFonts w:hint="eastAsia" w:ascii="黑体" w:hAnsi="黑体" w:eastAsia="黑体" w:cs="黑体"/>
          <w:kern w:val="0"/>
          <w:szCs w:val="21"/>
          <w:u w:val="none"/>
          <w:lang w:val="en-US" w:eastAsia="zh-CN"/>
        </w:rPr>
        <w:t>B.2</w:t>
      </w:r>
      <w:r>
        <w:rPr>
          <w:rFonts w:hint="eastAsia" w:ascii="黑体" w:hAnsi="黑体" w:eastAsia="黑体" w:cs="黑体"/>
          <w:kern w:val="0"/>
          <w:szCs w:val="21"/>
          <w:u w:val="none"/>
        </w:rPr>
        <w:t>质量控制分析应</w:t>
      </w:r>
      <w:r>
        <w:rPr>
          <w:rFonts w:hint="eastAsia" w:ascii="黑体" w:hAnsi="黑体" w:eastAsia="黑体" w:cs="黑体"/>
          <w:kern w:val="0"/>
          <w:szCs w:val="21"/>
          <w:u w:val="none"/>
          <w:lang w:val="en-US" w:eastAsia="zh-CN"/>
        </w:rPr>
        <w:t>进行以下</w:t>
      </w:r>
      <w:r>
        <w:rPr>
          <w:rFonts w:hint="eastAsia" w:ascii="黑体" w:hAnsi="黑体" w:eastAsia="黑体" w:cs="黑体"/>
          <w:kern w:val="0"/>
          <w:szCs w:val="21"/>
          <w:u w:val="none"/>
        </w:rPr>
        <w:t>证明</w:t>
      </w:r>
    </w:p>
    <w:p w14:paraId="1F15BFE3">
      <w:pPr>
        <w:numPr>
          <w:ilvl w:val="0"/>
          <w:numId w:val="4"/>
        </w:numPr>
        <w:ind w:left="420"/>
        <w:rPr>
          <w:rFonts w:hint="eastAsia" w:ascii="宋体" w:hAnsi="宋体" w:eastAsia="宋体" w:cs="宋体"/>
          <w:kern w:val="0"/>
          <w:szCs w:val="21"/>
          <w:u w:val="none"/>
        </w:rPr>
      </w:pPr>
      <w:r>
        <w:rPr>
          <w:rFonts w:hint="eastAsia" w:ascii="宋体" w:hAnsi="宋体" w:eastAsia="宋体" w:cs="宋体"/>
          <w:kern w:val="0"/>
          <w:szCs w:val="21"/>
          <w:u w:val="none"/>
        </w:rPr>
        <w:t>在</w:t>
      </w:r>
      <w:r>
        <w:rPr>
          <w:rFonts w:hint="eastAsia" w:ascii="宋体" w:hAnsi="宋体" w:eastAsia="宋体" w:cs="宋体"/>
          <w:kern w:val="0"/>
          <w:szCs w:val="21"/>
          <w:u w:val="none"/>
          <w:lang w:val="en-US" w:eastAsia="zh-CN"/>
        </w:rPr>
        <w:t>表B.1的</w:t>
      </w:r>
      <w:r>
        <w:rPr>
          <w:rFonts w:hint="eastAsia" w:ascii="宋体" w:hAnsi="宋体" w:eastAsia="宋体" w:cs="宋体"/>
          <w:kern w:val="0"/>
          <w:szCs w:val="21"/>
          <w:u w:val="none"/>
        </w:rPr>
        <w:t>D行中，荧光素酶诱导的剂量依赖性增加，Imax &gt;20（在大多数情况下，Imax值在100到300之间）；</w:t>
      </w:r>
    </w:p>
    <w:p w14:paraId="2A834C76">
      <w:pPr>
        <w:numPr>
          <w:ilvl w:val="0"/>
          <w:numId w:val="4"/>
        </w:numPr>
        <w:ind w:left="420"/>
        <w:rPr>
          <w:rFonts w:hint="eastAsia" w:ascii="宋体" w:hAnsi="宋体" w:eastAsia="宋体" w:cs="宋体"/>
          <w:kern w:val="0"/>
          <w:szCs w:val="21"/>
          <w:u w:val="none"/>
        </w:rPr>
      </w:pPr>
      <w:r>
        <w:rPr>
          <w:rFonts w:hint="eastAsia" w:ascii="宋体" w:hAnsi="宋体" w:eastAsia="宋体" w:cs="宋体"/>
          <w:kern w:val="0"/>
          <w:szCs w:val="21"/>
          <w:u w:val="none"/>
        </w:rPr>
        <w:t>H7到H11孔中荧光素酶诱导量呈剂量依赖性增加，H11孔中诱导量为2到8倍；</w:t>
      </w:r>
    </w:p>
    <w:p w14:paraId="1BD5061D">
      <w:pPr>
        <w:numPr>
          <w:ilvl w:val="0"/>
          <w:numId w:val="4"/>
        </w:numPr>
        <w:ind w:left="420"/>
        <w:rPr>
          <w:rFonts w:hint="eastAsia" w:ascii="宋体" w:hAnsi="宋体" w:eastAsia="宋体" w:cs="宋体"/>
          <w:kern w:val="0"/>
          <w:szCs w:val="21"/>
          <w:u w:val="none"/>
        </w:rPr>
      </w:pPr>
      <w:r>
        <w:rPr>
          <w:rFonts w:hint="eastAsia" w:ascii="宋体" w:hAnsi="宋体" w:eastAsia="宋体" w:cs="宋体"/>
          <w:kern w:val="0"/>
          <w:sz w:val="21"/>
          <w:szCs w:val="21"/>
          <w:u w:val="none"/>
          <w:lang w:val="en-US" w:eastAsia="zh-CN" w:bidi="ar-SA"/>
        </w:rPr>
        <w:t>在C行和E行中，荧光素酶的诱导没有剂量依赖性的增加(诱导值不等于或超过1.5（理想情况下不高于1.3），这是由于可能的光污染，特别是在EGDMA行的强活性孔附近；</w:t>
      </w:r>
    </w:p>
    <w:p w14:paraId="16AF383B">
      <w:pPr>
        <w:numPr>
          <w:ilvl w:val="0"/>
          <w:numId w:val="4"/>
        </w:numPr>
        <w:ind w:left="420"/>
        <w:rPr>
          <w:rFonts w:hint="eastAsia" w:ascii="宋体" w:hAnsi="宋体" w:eastAsia="宋体" w:cs="宋体"/>
          <w:kern w:val="0"/>
          <w:szCs w:val="21"/>
          <w:u w:val="none"/>
        </w:rPr>
      </w:pPr>
      <w:r>
        <w:rPr>
          <w:rFonts w:hint="eastAsia" w:ascii="宋体" w:hAnsi="宋体" w:eastAsia="宋体" w:cs="宋体"/>
          <w:kern w:val="0"/>
          <w:szCs w:val="21"/>
          <w:u w:val="none"/>
        </w:rPr>
        <w:t>A、B、C、E、F、G等行间差异无统计学意义（即平板上无梯度）</w:t>
      </w:r>
      <w:r>
        <w:rPr>
          <w:rFonts w:hint="eastAsia" w:ascii="宋体" w:hAnsi="宋体" w:eastAsia="宋体" w:cs="宋体"/>
          <w:kern w:val="0"/>
          <w:szCs w:val="21"/>
          <w:u w:val="none"/>
          <w:lang w:eastAsia="zh-CN"/>
        </w:rPr>
        <w:t>；</w:t>
      </w:r>
    </w:p>
    <w:p w14:paraId="78A227F6">
      <w:pPr>
        <w:numPr>
          <w:ilvl w:val="0"/>
          <w:numId w:val="4"/>
        </w:numPr>
        <w:ind w:left="420"/>
        <w:jc w:val="left"/>
        <w:rPr>
          <w:rFonts w:hint="default" w:ascii="Times New Roman" w:hAnsi="Times New Roman" w:eastAsia="宋体" w:cs="Times New Roman"/>
          <w:szCs w:val="21"/>
        </w:rPr>
      </w:pPr>
      <w:r>
        <w:rPr>
          <w:rFonts w:hint="eastAsia" w:ascii="宋体" w:hAnsi="宋体" w:eastAsia="宋体" w:cs="宋体"/>
          <w:kern w:val="0"/>
          <w:szCs w:val="21"/>
          <w:u w:val="none"/>
        </w:rPr>
        <w:t>A、B、C、E、F和G行以及H行DMSO井的变异性应低于20%（即稳定背景）。</w:t>
      </w:r>
    </w:p>
    <w:p w14:paraId="285C616B">
      <w:pPr>
        <w:numPr>
          <w:ilvl w:val="0"/>
          <w:numId w:val="0"/>
        </w:numPr>
        <w:tabs>
          <w:tab w:val="left" w:pos="0"/>
        </w:tabs>
        <w:jc w:val="left"/>
        <w:rPr>
          <w:rFonts w:hint="default" w:ascii="Times New Roman" w:hAnsi="Times New Roman" w:eastAsia="宋体" w:cs="Times New Roman"/>
          <w:szCs w:val="21"/>
        </w:rPr>
      </w:pPr>
    </w:p>
    <w:p w14:paraId="7311114D">
      <w:pPr>
        <w:numPr>
          <w:ilvl w:val="-1"/>
          <w:numId w:val="0"/>
        </w:numPr>
        <w:tabs>
          <w:tab w:val="left" w:pos="0"/>
        </w:tabs>
        <w:ind w:left="0"/>
        <w:jc w:val="center"/>
        <w:rPr>
          <w:rFonts w:hint="eastAsia" w:ascii="黑体" w:hAnsi="黑体" w:eastAsia="黑体" w:cs="黑体"/>
          <w:lang w:val="en-US" w:eastAsia="zh-CN"/>
        </w:rPr>
      </w:pPr>
      <w:r>
        <w:rPr>
          <w:rFonts w:hint="eastAsia" w:ascii="黑体" w:hAnsi="黑体" w:eastAsia="黑体" w:cs="黑体"/>
          <w:szCs w:val="21"/>
          <w:lang w:val="en-US" w:eastAsia="zh-CN"/>
        </w:rPr>
        <w:t>表B.1</w:t>
      </w:r>
      <w:r>
        <w:rPr>
          <w:rFonts w:hint="eastAsia" w:ascii="黑体" w:hAnsi="黑体" w:eastAsia="黑体" w:cs="黑体"/>
          <w:lang w:val="en-US" w:eastAsia="zh-CN"/>
        </w:rPr>
        <w:t xml:space="preserve"> 质量控制分析</w:t>
      </w:r>
    </w:p>
    <w:tbl>
      <w:tblPr>
        <w:tblStyle w:val="7"/>
        <w:tblW w:w="4994"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2"/>
        <w:gridCol w:w="680"/>
        <w:gridCol w:w="680"/>
        <w:gridCol w:w="680"/>
        <w:gridCol w:w="680"/>
        <w:gridCol w:w="680"/>
        <w:gridCol w:w="680"/>
        <w:gridCol w:w="680"/>
        <w:gridCol w:w="680"/>
        <w:gridCol w:w="680"/>
        <w:gridCol w:w="680"/>
        <w:gridCol w:w="680"/>
        <w:gridCol w:w="680"/>
      </w:tblGrid>
      <w:tr w14:paraId="374604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07"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7E384C0B">
            <w:pPr>
              <w:spacing w:line="360" w:lineRule="auto"/>
              <w:jc w:val="center"/>
              <w:rPr>
                <w:rFonts w:hint="eastAsia" w:ascii="宋体" w:hAnsi="宋体" w:eastAsia="宋体" w:cs="宋体"/>
                <w:color w:val="000000"/>
                <w:sz w:val="18"/>
                <w:szCs w:val="18"/>
                <w:vertAlign w:val="baseline"/>
              </w:rPr>
            </w:pP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67BB2129">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34498A24">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38D25F60">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7B6F5618">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5B53355E">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5</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0C2DD16B">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4DE418CB">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7</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6F883BC0">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8</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37A85A9A">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9</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3CE4417B">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10</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253C9D95">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11</w:t>
            </w:r>
          </w:p>
        </w:tc>
        <w:tc>
          <w:tcPr>
            <w:tcW w:w="399" w:type="pct"/>
            <w:tcBorders>
              <w:top w:val="single" w:color="4F81BD" w:sz="8" w:space="0"/>
              <w:left w:val="dotted" w:color="auto" w:sz="0" w:space="0"/>
              <w:bottom w:val="single" w:color="4F81BD" w:sz="8" w:space="0"/>
              <w:right w:val="dotted" w:color="auto" w:sz="0" w:space="0"/>
              <w:tl2br w:val="nil"/>
              <w:tr2bl w:val="nil"/>
            </w:tcBorders>
            <w:shd w:val="clear" w:color="auto" w:fill="FFFFFF"/>
            <w:vAlign w:val="center"/>
          </w:tcPr>
          <w:p w14:paraId="54252C0A">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12</w:t>
            </w:r>
          </w:p>
        </w:tc>
      </w:tr>
      <w:tr w14:paraId="214FFE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07"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6B681C14">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A</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1E2EC53E">
            <w:pPr>
              <w:spacing w:line="360" w:lineRule="auto"/>
              <w:jc w:val="center"/>
              <w:rPr>
                <w:rFonts w:hint="eastAsia" w:ascii="宋体" w:hAnsi="宋体" w:eastAsia="宋体" w:cs="宋体"/>
                <w:color w:val="000000"/>
                <w:sz w:val="18"/>
                <w:szCs w:val="18"/>
                <w:vertAlign w:val="baseline"/>
                <w:lang w:val="en-US" w:eastAsia="zh-CN"/>
              </w:rPr>
            </w:pPr>
            <w:bookmarkStart w:id="27" w:name="OLE_LINK12"/>
            <w:r>
              <w:rPr>
                <w:rFonts w:hint="eastAsia" w:ascii="宋体" w:hAnsi="宋体" w:eastAsia="宋体" w:cs="宋体"/>
                <w:color w:val="000000"/>
                <w:sz w:val="18"/>
                <w:szCs w:val="18"/>
                <w:vertAlign w:val="baseline"/>
                <w:lang w:val="en-US" w:eastAsia="zh-CN"/>
              </w:rPr>
              <w:t>DMSO</w:t>
            </w:r>
            <w:bookmarkEnd w:id="27"/>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50C8EB49">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2AF990F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3F1EB04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23F68ABC">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50D9A37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14943C27">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44DEDA86">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446DDAB0">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73A81B7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05A2392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single" w:color="4F81BD" w:sz="8" w:space="0"/>
              <w:left w:val="dotted" w:color="auto" w:sz="0" w:space="0"/>
              <w:bottom w:val="dotted" w:color="auto" w:sz="0" w:space="0"/>
              <w:right w:val="dotted" w:color="auto" w:sz="0" w:space="0"/>
              <w:tl2br w:val="nil"/>
              <w:tr2bl w:val="nil"/>
            </w:tcBorders>
            <w:shd w:val="clear" w:color="auto" w:fill="DBE5F1"/>
            <w:vAlign w:val="center"/>
          </w:tcPr>
          <w:p w14:paraId="6D6E8BAC">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40238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50B0E94A">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B</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3679750A">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6A7F7B2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1E15E3A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65CDBBA5">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6EC0234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598B99FD">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0E7747A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79EDCF6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0C4F0DB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1C5995C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21BC31C2">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01724225">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47D7D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1D1D23E">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C</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A787A7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27CC4FC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66603EA3">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3BF5C80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405BA006">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8FCFED3">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4CCBF36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1F78E3A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63905A9C">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5255C33">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39BCF1B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21CEE970">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5496E5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574ED00A">
            <w:pPr>
              <w:spacing w:line="360" w:lineRule="auto"/>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D</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4C1454BD">
            <w:pPr>
              <w:spacing w:line="240" w:lineRule="auto"/>
              <w:jc w:val="center"/>
              <w:rPr>
                <w:rFonts w:hint="eastAsia" w:ascii="宋体" w:hAnsi="宋体" w:eastAsia="宋体" w:cs="宋体"/>
                <w:b/>
                <w:bCs/>
                <w:color w:val="auto"/>
                <w:sz w:val="18"/>
                <w:szCs w:val="18"/>
                <w:highlight w:val="none"/>
                <w:vertAlign w:val="baseline"/>
                <w:lang w:val="en-US" w:eastAsia="zh-CN"/>
              </w:rPr>
            </w:pPr>
            <w:bookmarkStart w:id="28" w:name="OLE_LINK13"/>
            <w:r>
              <w:rPr>
                <w:rFonts w:hint="eastAsia" w:ascii="宋体" w:hAnsi="宋体" w:eastAsia="宋体" w:cs="宋体"/>
                <w:b/>
                <w:bCs/>
                <w:color w:val="auto"/>
                <w:sz w:val="18"/>
                <w:szCs w:val="18"/>
                <w:highlight w:val="none"/>
                <w:vertAlign w:val="baseline"/>
                <w:lang w:val="en-US" w:eastAsia="zh-CN"/>
              </w:rPr>
              <w:t>EGDMA</w:t>
            </w:r>
            <w:bookmarkEnd w:id="28"/>
          </w:p>
          <w:p w14:paraId="6F02040A">
            <w:pPr>
              <w:spacing w:line="240" w:lineRule="auto"/>
              <w:jc w:val="center"/>
              <w:rPr>
                <w:rFonts w:hint="eastAsia" w:ascii="宋体" w:hAnsi="宋体" w:eastAsia="宋体" w:cs="宋体"/>
                <w:b/>
                <w:bCs/>
                <w:color w:val="auto"/>
                <w:sz w:val="18"/>
                <w:szCs w:val="18"/>
                <w:highlight w:val="none"/>
                <w:vertAlign w:val="baseline"/>
                <w:lang w:val="en-US"/>
              </w:rPr>
            </w:pPr>
            <w:r>
              <w:rPr>
                <w:rFonts w:hint="eastAsia" w:ascii="宋体" w:hAnsi="宋体" w:eastAsia="宋体" w:cs="宋体"/>
                <w:b/>
                <w:bCs/>
                <w:color w:val="auto"/>
                <w:sz w:val="18"/>
                <w:szCs w:val="18"/>
                <w:highlight w:val="none"/>
                <w:vertAlign w:val="baseline"/>
                <w:lang w:val="en-US" w:eastAsia="zh-CN"/>
              </w:rPr>
              <w:t>0.98</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7A71C1B6">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6F3A04B9">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1.95</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01649F82">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3C53F1E7">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3.9</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182A0122">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7DAF538B">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7.8</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2B089BC6">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2BB14EFD">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15.6</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35F7858A">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4E113707">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31.25</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0F6466A1">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093B8284">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62.5</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1EA16C29">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0186D454">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125</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7E274AF2">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603B6B04">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250</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7D47D5B2">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1C2B43B8">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500</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494B3689">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1BC772A9">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1000</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7D7D7" w:themeFill="background1" w:themeFillShade="D8"/>
            <w:vAlign w:val="center"/>
          </w:tcPr>
          <w:p w14:paraId="21FCB73A">
            <w:pPr>
              <w:spacing w:line="240" w:lineRule="auto"/>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EGDMA</w:t>
            </w:r>
          </w:p>
          <w:p w14:paraId="1BC3085F">
            <w:pPr>
              <w:spacing w:line="240" w:lineRule="auto"/>
              <w:jc w:val="center"/>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2000</w:t>
            </w:r>
          </w:p>
        </w:tc>
      </w:tr>
      <w:tr w14:paraId="1F7D9C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D620DC1">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E</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C2B344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476B789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F776E3C">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4C6C65D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3FA9CDA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7E494B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60723082">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3D86BBB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6717EBC">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DF4704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20C1F9B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29D396ED">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658DFC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6082B58B">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F</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4E0E6D72">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1A96803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32065FC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56C37F29">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179C2A4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75C77602">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16B66F0D">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554C2AE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4B501E9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398516B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059CFE35">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FFFFFF"/>
            <w:vAlign w:val="center"/>
          </w:tcPr>
          <w:p w14:paraId="79CD75B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34B4EF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C23F04C">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G</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5A355AA">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6E2E06A">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D5E8E86">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8496A75">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6126331">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725A6280">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EB314EB">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465DF5E">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007B6B8A">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454763F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1E4B4124">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dotted" w:color="auto" w:sz="0" w:space="0"/>
              <w:right w:val="dotted" w:color="auto" w:sz="0" w:space="0"/>
              <w:tl2br w:val="nil"/>
              <w:tr2bl w:val="nil"/>
            </w:tcBorders>
            <w:shd w:val="clear" w:color="auto" w:fill="DBE5F1"/>
            <w:vAlign w:val="center"/>
          </w:tcPr>
          <w:p w14:paraId="5E93F818">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r>
      <w:tr w14:paraId="671BC3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07"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55A71D71">
            <w:pPr>
              <w:spacing w:line="360" w:lineRule="auto"/>
              <w:jc w:val="both"/>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H</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2135EF33">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020F1396">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1504A747">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3ED0B132">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48E8D56F">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FFFFFF"/>
            <w:vAlign w:val="center"/>
          </w:tcPr>
          <w:p w14:paraId="00150E13">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color w:val="000000"/>
                <w:sz w:val="18"/>
                <w:szCs w:val="18"/>
                <w:vertAlign w:val="baseline"/>
                <w:lang w:val="en-US" w:eastAsia="zh-CN"/>
              </w:rPr>
              <w:t>DMSO</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496DE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CA</w:t>
            </w:r>
          </w:p>
          <w:p w14:paraId="434C1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rPr>
            </w:pPr>
            <w:r>
              <w:rPr>
                <w:rFonts w:hint="eastAsia" w:ascii="宋体" w:hAnsi="宋体" w:eastAsia="宋体" w:cs="宋体"/>
                <w:b/>
                <w:bCs/>
                <w:color w:val="000000"/>
                <w:sz w:val="18"/>
                <w:szCs w:val="18"/>
                <w:vertAlign w:val="baseline"/>
                <w:lang w:val="en-US" w:eastAsia="zh-CN"/>
              </w:rPr>
              <w:t>4</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26202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CA</w:t>
            </w:r>
          </w:p>
          <w:p w14:paraId="25E08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rPr>
            </w:pPr>
            <w:r>
              <w:rPr>
                <w:rFonts w:hint="eastAsia" w:ascii="宋体" w:hAnsi="宋体" w:eastAsia="宋体" w:cs="宋体"/>
                <w:b/>
                <w:bCs/>
                <w:color w:val="000000"/>
                <w:sz w:val="18"/>
                <w:szCs w:val="18"/>
                <w:vertAlign w:val="baseline"/>
                <w:lang w:val="en-US" w:eastAsia="zh-CN"/>
              </w:rPr>
              <w:t>8</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56FA7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CA</w:t>
            </w:r>
          </w:p>
          <w:p w14:paraId="56F6F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rPr>
            </w:pPr>
            <w:r>
              <w:rPr>
                <w:rFonts w:hint="eastAsia" w:ascii="宋体" w:hAnsi="宋体" w:eastAsia="宋体" w:cs="宋体"/>
                <w:b/>
                <w:bCs/>
                <w:color w:val="000000"/>
                <w:sz w:val="18"/>
                <w:szCs w:val="18"/>
                <w:vertAlign w:val="baseline"/>
                <w:lang w:val="en-US" w:eastAsia="zh-CN"/>
              </w:rPr>
              <w:t>16</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27456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CA</w:t>
            </w:r>
          </w:p>
          <w:p w14:paraId="08D11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rPr>
            </w:pPr>
            <w:r>
              <w:rPr>
                <w:rFonts w:hint="eastAsia" w:ascii="宋体" w:hAnsi="宋体" w:eastAsia="宋体" w:cs="宋体"/>
                <w:b/>
                <w:bCs/>
                <w:color w:val="000000"/>
                <w:sz w:val="18"/>
                <w:szCs w:val="18"/>
                <w:vertAlign w:val="baseline"/>
                <w:lang w:val="en-US" w:eastAsia="zh-CN"/>
              </w:rPr>
              <w:t>32</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478BB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CA</w:t>
            </w:r>
          </w:p>
          <w:p w14:paraId="538DC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18"/>
                <w:szCs w:val="18"/>
                <w:vertAlign w:val="baseline"/>
                <w:lang w:val="en-US"/>
              </w:rPr>
            </w:pPr>
            <w:r>
              <w:rPr>
                <w:rFonts w:hint="eastAsia" w:ascii="宋体" w:hAnsi="宋体" w:eastAsia="宋体" w:cs="宋体"/>
                <w:b/>
                <w:bCs/>
                <w:color w:val="000000"/>
                <w:sz w:val="18"/>
                <w:szCs w:val="18"/>
                <w:vertAlign w:val="baseline"/>
                <w:lang w:val="en-US" w:eastAsia="zh-CN"/>
              </w:rPr>
              <w:t>64</w:t>
            </w:r>
          </w:p>
        </w:tc>
        <w:tc>
          <w:tcPr>
            <w:tcW w:w="399" w:type="pct"/>
            <w:tcBorders>
              <w:top w:val="dotted" w:color="auto" w:sz="4" w:space="0"/>
              <w:left w:val="dotted" w:color="auto" w:sz="0" w:space="0"/>
              <w:bottom w:val="single" w:color="4F81BD" w:sz="8" w:space="0"/>
              <w:right w:val="dotted" w:color="auto" w:sz="0" w:space="0"/>
              <w:tl2br w:val="nil"/>
              <w:tr2bl w:val="nil"/>
            </w:tcBorders>
            <w:shd w:val="clear" w:color="auto" w:fill="D7D7D7" w:themeFill="background1" w:themeFillShade="D8"/>
            <w:vAlign w:val="center"/>
          </w:tcPr>
          <w:p w14:paraId="49D50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18"/>
                <w:szCs w:val="18"/>
                <w:vertAlign w:val="baseline"/>
                <w:lang w:val="en-US"/>
              </w:rPr>
            </w:pPr>
            <w:r>
              <w:rPr>
                <w:rFonts w:hint="eastAsia" w:ascii="宋体" w:hAnsi="宋体" w:eastAsia="宋体" w:cs="宋体"/>
                <w:color w:val="000000"/>
                <w:sz w:val="18"/>
                <w:szCs w:val="18"/>
                <w:vertAlign w:val="baseline"/>
                <w:lang w:val="en-US" w:eastAsia="zh-CN"/>
              </w:rPr>
              <w:t>Blank</w:t>
            </w:r>
          </w:p>
        </w:tc>
      </w:tr>
    </w:tbl>
    <w:p w14:paraId="06027E66">
      <w:pPr>
        <w:rPr>
          <w:rFonts w:hint="default" w:ascii="Times New Roman" w:hAnsi="Times New Roman" w:eastAsia="宋体" w:cs="Times New Roman"/>
          <w:kern w:val="0"/>
          <w:szCs w:val="21"/>
          <w:u w:val="none"/>
          <w:lang w:val="en-US" w:eastAsia="zh-CN"/>
        </w:rPr>
      </w:pPr>
    </w:p>
    <w:p w14:paraId="71E82133">
      <w:pPr>
        <w:rPr>
          <w:rFonts w:hint="eastAsia" w:ascii="宋体" w:hAnsi="宋体" w:eastAsia="宋体" w:cs="宋体"/>
          <w:kern w:val="0"/>
          <w:szCs w:val="21"/>
          <w:u w:val="none"/>
          <w:lang w:val="en-US" w:eastAsia="zh-CN"/>
        </w:rPr>
      </w:pPr>
      <w:r>
        <w:rPr>
          <w:rFonts w:hint="eastAsia" w:ascii="宋体" w:hAnsi="宋体" w:eastAsia="宋体" w:cs="宋体"/>
          <w:kern w:val="0"/>
          <w:szCs w:val="21"/>
          <w:u w:val="none"/>
          <w:lang w:val="en-US" w:eastAsia="zh-CN"/>
        </w:rPr>
        <w:t xml:space="preserve">EGDMA = </w:t>
      </w:r>
      <w:bookmarkStart w:id="29" w:name="OLE_LINK14"/>
      <w:r>
        <w:rPr>
          <w:rFonts w:hint="eastAsia" w:ascii="宋体" w:hAnsi="宋体" w:eastAsia="宋体" w:cs="宋体"/>
          <w:kern w:val="0"/>
          <w:szCs w:val="21"/>
          <w:u w:val="none"/>
          <w:lang w:val="en-US" w:eastAsia="zh-CN"/>
        </w:rPr>
        <w:t>Ethylene glycol dimethacrylate</w:t>
      </w:r>
      <w:bookmarkEnd w:id="29"/>
      <w:r>
        <w:rPr>
          <w:rFonts w:hint="eastAsia" w:ascii="宋体" w:hAnsi="宋体" w:eastAsia="宋体" w:cs="宋体"/>
          <w:kern w:val="0"/>
          <w:szCs w:val="21"/>
          <w:u w:val="none"/>
          <w:lang w:val="en-US" w:eastAsia="zh-CN"/>
        </w:rPr>
        <w:t xml:space="preserve"> 二甲基丙烯酸乙二醇酯(CAS No.: 97-90-5) 是一种强诱导剂。</w:t>
      </w:r>
    </w:p>
    <w:p w14:paraId="41231724">
      <w:pPr>
        <w:jc w:val="left"/>
        <w:rPr>
          <w:rFonts w:hint="eastAsia" w:ascii="宋体" w:hAnsi="宋体" w:eastAsia="宋体" w:cs="宋体"/>
          <w:spacing w:val="0"/>
          <w:kern w:val="0"/>
          <w:szCs w:val="21"/>
          <w:u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kern w:val="0"/>
          <w:szCs w:val="21"/>
          <w:u w:val="none"/>
          <w:lang w:val="en-US" w:eastAsia="zh-CN"/>
        </w:rPr>
        <w:t>CA = Cinnamic aldehyde, positive reference，肉桂醛，阳性参考品 (CAS No.: 104-55-2).</w:t>
      </w:r>
      <w:r>
        <w:rPr>
          <w:rFonts w:hint="eastAsia" w:ascii="宋体" w:hAnsi="宋体" w:eastAsia="宋体" w:cs="宋体"/>
          <w:spacing w:val="0"/>
          <w:kern w:val="0"/>
          <w:szCs w:val="21"/>
          <w:u w:val="none"/>
        </w:rPr>
        <w:t>浓度以µ</w:t>
      </w:r>
      <w:r>
        <w:rPr>
          <w:rFonts w:hint="eastAsia" w:ascii="宋体" w:hAnsi="宋体" w:eastAsia="宋体" w:cs="宋体"/>
          <w:spacing w:val="0"/>
          <w:kern w:val="0"/>
          <w:szCs w:val="21"/>
          <w:u w:val="none"/>
          <w:lang w:eastAsia="zh-CN"/>
        </w:rPr>
        <w:t>m</w:t>
      </w:r>
      <w:r>
        <w:rPr>
          <w:rFonts w:hint="eastAsia" w:ascii="宋体" w:hAnsi="宋体" w:eastAsia="宋体" w:cs="宋体"/>
          <w:spacing w:val="0"/>
          <w:kern w:val="0"/>
          <w:szCs w:val="21"/>
          <w:u w:val="none"/>
          <w:lang w:val="en-US" w:eastAsia="zh-CN"/>
        </w:rPr>
        <w:t>ol/L</w:t>
      </w:r>
      <w:r>
        <w:rPr>
          <w:rFonts w:hint="eastAsia" w:ascii="宋体" w:hAnsi="宋体" w:eastAsia="宋体" w:cs="宋体"/>
          <w:spacing w:val="0"/>
          <w:kern w:val="0"/>
          <w:szCs w:val="21"/>
          <w:u w:val="none"/>
        </w:rPr>
        <w:t>表示</w:t>
      </w:r>
      <w:r>
        <w:rPr>
          <w:rFonts w:hint="eastAsia" w:ascii="宋体" w:hAnsi="宋体" w:eastAsia="宋体" w:cs="宋体"/>
          <w:spacing w:val="0"/>
          <w:kern w:val="0"/>
          <w:szCs w:val="21"/>
          <w:u w:val="none"/>
          <w:lang w:eastAsia="zh-CN"/>
        </w:rPr>
        <w:t>。</w:t>
      </w:r>
    </w:p>
    <w:p w14:paraId="41796288">
      <w:pPr>
        <w:pStyle w:val="11"/>
        <w:keepNext w:val="0"/>
        <w:keepLines w:val="0"/>
        <w:pageBreakBefore w:val="0"/>
        <w:widowControl/>
        <w:kinsoku/>
        <w:wordWrap/>
        <w:overflowPunct/>
        <w:topLinePunct w:val="0"/>
        <w:autoSpaceDE/>
        <w:autoSpaceDN/>
        <w:bidi w:val="0"/>
        <w:adjustRightInd/>
        <w:snapToGrid/>
        <w:spacing w:before="157" w:beforeLines="50" w:after="156"/>
        <w:textAlignment w:val="auto"/>
        <w:rPr>
          <w:rFonts w:hint="default" w:ascii="Times New Roman" w:hAnsi="Times New Roman" w:eastAsia="宋体" w:cs="Times New Roman"/>
          <w:spacing w:val="320"/>
          <w:kern w:val="0"/>
          <w:szCs w:val="21"/>
        </w:rPr>
      </w:pPr>
      <w:r>
        <w:rPr>
          <w:rFonts w:hint="eastAsia" w:hAnsi="黑体" w:cs="黑体"/>
          <w:spacing w:val="105"/>
          <w:lang w:val="en-US" w:eastAsia="zh-CN"/>
        </w:rPr>
        <w:t>参考文献</w:t>
      </w:r>
    </w:p>
    <w:p w14:paraId="03F4C89A">
      <w:pPr>
        <w:keepNext w:val="0"/>
        <w:keepLines w:val="0"/>
        <w:pageBreakBefore w:val="0"/>
        <w:widowControl w:val="0"/>
        <w:numPr>
          <w:ilvl w:val="0"/>
          <w:numId w:val="5"/>
        </w:numPr>
        <w:kinsoku/>
        <w:wordWrap/>
        <w:overflowPunct/>
        <w:topLinePunct w:val="0"/>
        <w:bidi w:val="0"/>
        <w:adjustRightInd w:val="0"/>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《化妆品安全技术规范》，</w:t>
      </w:r>
      <w:r>
        <w:rPr>
          <w:rFonts w:hint="eastAsia" w:ascii="宋体" w:hAnsi="宋体" w:eastAsia="宋体" w:cs="宋体"/>
          <w:sz w:val="21"/>
          <w:szCs w:val="21"/>
          <w:lang w:val="en-US" w:eastAsia="zh-CN"/>
        </w:rPr>
        <w:t>国家食品药品监督管理总局</w:t>
      </w:r>
    </w:p>
    <w:p w14:paraId="5300EBD9">
      <w:pPr>
        <w:keepNext w:val="0"/>
        <w:keepLines w:val="0"/>
        <w:pageBreakBefore w:val="0"/>
        <w:widowControl w:val="0"/>
        <w:numPr>
          <w:ilvl w:val="0"/>
          <w:numId w:val="5"/>
        </w:numPr>
        <w:kinsoku/>
        <w:wordWrap/>
        <w:overflowPunct/>
        <w:topLinePunct w:val="0"/>
        <w:bidi w:val="0"/>
        <w:adjustRightInd w:val="0"/>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OECD</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Series on Testing and Assessment No. 168. The Adverse Outcome Pathway for Skin Sensitisation Initiated by Covalent Binding to Proteins. Part 1: Scientific Evidence. Organisation for Economic Cooperation and Development, Paris.</w:t>
      </w:r>
    </w:p>
    <w:p w14:paraId="3C2552DA">
      <w:pPr>
        <w:keepNext w:val="0"/>
        <w:keepLines w:val="0"/>
        <w:pageBreakBefore w:val="0"/>
        <w:widowControl w:val="0"/>
        <w:numPr>
          <w:ilvl w:val="0"/>
          <w:numId w:val="5"/>
        </w:numPr>
        <w:kinsoku/>
        <w:wordWrap/>
        <w:overflowPunct/>
        <w:topLinePunct w:val="0"/>
        <w:bidi w:val="0"/>
        <w:adjustRightInd w:val="0"/>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OECD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Series on Testing and Assessment, No. 286: Guidance Document on Good In Vitro Method Practices (GIVIMP). </w:t>
      </w:r>
    </w:p>
    <w:p w14:paraId="58542084">
      <w:pPr>
        <w:keepNext w:val="0"/>
        <w:keepLines w:val="0"/>
        <w:pageBreakBefore w:val="0"/>
        <w:widowControl w:val="0"/>
        <w:numPr>
          <w:ilvl w:val="0"/>
          <w:numId w:val="5"/>
        </w:numPr>
        <w:kinsoku/>
        <w:wordWrap/>
        <w:overflowPunct/>
        <w:topLinePunct w:val="0"/>
        <w:bidi w:val="0"/>
        <w:adjustRightInd w:val="0"/>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OECD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Test No. 442D: In Vitro Skin Sensitisation: ARE-Nrf2 Luciferase Test Method, OECD Guidelines for the Testing of Chemicals, Section 4, OECD Publishing, Paris,</w:t>
      </w:r>
    </w:p>
    <w:p w14:paraId="4C4A0F9F">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 xml:space="preserve">OECD BG1Luc Estrogen Receptor Transactivation Test Method for Identifying Estrogen Receptor Agonists and Antagonists. </w:t>
      </w:r>
    </w:p>
    <w:p w14:paraId="5DE71C8A">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OECD Guidelines for Chemical Testing No. 457. Organisation for Economic Cooperation and Development, Paris.</w:t>
      </w:r>
    </w:p>
    <w:p w14:paraId="3AF92810">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OECD</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Guidance Document No 213. Performance Standards for assessment of proposed similar or modified in vitro skin sensitisation ARE-NrF2 luciferase test methods.</w:t>
      </w:r>
    </w:p>
    <w:p w14:paraId="0EE450E4">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Natsch A.</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The Nrf2-Keap1-ARE Toxicity Pathway as a Cellular Sensor for Skin Sensitizers-Functional Relevance and Hypothesis on Innate Reactions to Skin Sensitizers. Toxicological Sciences 113, 284-292.</w:t>
      </w:r>
    </w:p>
    <w:p w14:paraId="3AD5445B">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Ramirez T., Mehling A., Kolle S.N., Wruck C.J., Teubner W., Eltze T., Aumann A., Urbisch D., van Ravenzwaay B., Landsiedel R. LuSens: a keratinocyte based ARE reporter gene assay for use in integrated testing strategies for skin sensitization hazard identification. Toxicol. In Vitro 28, 1482-1497.</w:t>
      </w:r>
    </w:p>
    <w:p w14:paraId="523853BF">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Ramirez T., Stein N., Aumann A., Remus T., Edwards A., Norman K.G., Ryan C., Bader J.E., Fehr M., Burleson F., Foertsch L., Wang X., Gerberick F., Beilstein P., Hoffmann S., Mehling A., van Ravenzwaay B., Landsiedel R. Intra- and inter-laboratory reproducibility and accuracy of the LuSens assay: A reporter gene-cell line to detect keratinocyte activation by skin sensitizers. Toxicol. In Vitro 32, 278-286.</w:t>
      </w:r>
    </w:p>
    <w:p w14:paraId="01FC776B">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EURL-ECVAM Recommendation on the KeratinoSensTM assay for skin sensitisation testing, 42 pp.</w:t>
      </w:r>
    </w:p>
    <w:p w14:paraId="34194715">
      <w:pPr>
        <w:keepNext w:val="0"/>
        <w:keepLines w:val="0"/>
        <w:pageBreakBefore w:val="0"/>
        <w:widowControl w:val="0"/>
        <w:numPr>
          <w:ilvl w:val="0"/>
          <w:numId w:val="5"/>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0000FF"/>
          <w:kern w:val="0"/>
          <w:sz w:val="21"/>
          <w:szCs w:val="21"/>
        </w:rPr>
      </w:pPr>
      <w:r>
        <w:rPr>
          <w:rFonts w:hint="eastAsia" w:ascii="宋体" w:hAnsi="宋体" w:eastAsia="宋体" w:cs="宋体"/>
          <w:color w:val="000000"/>
          <w:kern w:val="0"/>
          <w:sz w:val="21"/>
          <w:szCs w:val="21"/>
        </w:rPr>
        <w:t xml:space="preserve">EURL ECVAM. The LuSens test method Validation Study Report.  </w:t>
      </w:r>
    </w:p>
    <w:p w14:paraId="00C06579">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ESAC. ESAC opinion on the BASF-coordinated Performance Standards-based validation of the LuSens test method for skin sensitisation testing.</w:t>
      </w:r>
    </w:p>
    <w:p w14:paraId="3EAC5F50">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ECETOC. Contact sensitization: Classification according to potency. European Centre for Ecotoxicology &amp; Toxicology of Chemicals (Technical Report No. 87).</w:t>
      </w:r>
    </w:p>
    <w:p w14:paraId="01A29943">
      <w:pPr>
        <w:jc w:val="left"/>
        <w:rPr>
          <w:rFonts w:hint="eastAsia" w:ascii="宋体" w:hAnsi="宋体" w:eastAsia="宋体" w:cs="宋体"/>
          <w:spacing w:val="0"/>
          <w:kern w:val="0"/>
          <w:szCs w:val="21"/>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CC95">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546C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A546C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0769">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956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5956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4EB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46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9746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33F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ADF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5ADF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5C5">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E431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CE431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9EE4">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8D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B38D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9F6FA"/>
    <w:multiLevelType w:val="singleLevel"/>
    <w:tmpl w:val="CB99F6FA"/>
    <w:lvl w:ilvl="0" w:tentative="0">
      <w:start w:val="1"/>
      <w:numFmt w:val="lowerLetter"/>
      <w:suff w:val="nothing"/>
      <w:lvlText w:val="%1）"/>
      <w:lvlJc w:val="left"/>
      <w:pPr>
        <w:tabs>
          <w:tab w:val="left" w:pos="0"/>
        </w:tabs>
        <w:ind w:left="420" w:leftChars="0" w:firstLine="0" w:firstLineChars="0"/>
      </w:pPr>
      <w:rPr>
        <w:rFonts w:hint="default"/>
      </w:rPr>
    </w:lvl>
  </w:abstractNum>
  <w:abstractNum w:abstractNumId="1">
    <w:nsid w:val="E93B57E7"/>
    <w:multiLevelType w:val="singleLevel"/>
    <w:tmpl w:val="E93B57E7"/>
    <w:lvl w:ilvl="0" w:tentative="0">
      <w:start w:val="1"/>
      <w:numFmt w:val="lowerLetter"/>
      <w:lvlText w:val="%1）"/>
      <w:lvlJc w:val="left"/>
      <w:pPr>
        <w:tabs>
          <w:tab w:val="left" w:pos="420"/>
        </w:tabs>
        <w:ind w:left="425" w:leftChars="0" w:hanging="425" w:firstLineChars="0"/>
      </w:pPr>
      <w:rPr>
        <w:rFonts w:hint="default"/>
      </w:rPr>
    </w:lvl>
  </w:abstractNum>
  <w:abstractNum w:abstractNumId="2">
    <w:nsid w:val="07ED3FEA"/>
    <w:multiLevelType w:val="multilevel"/>
    <w:tmpl w:val="07ED3FEA"/>
    <w:lvl w:ilvl="0" w:tentative="0">
      <w:start w:val="1"/>
      <w:numFmt w:val="none"/>
      <w:pStyle w:val="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10BD898"/>
    <w:multiLevelType w:val="singleLevel"/>
    <w:tmpl w:val="710BD898"/>
    <w:lvl w:ilvl="0" w:tentative="0">
      <w:start w:val="1"/>
      <w:numFmt w:val="lowerLetter"/>
      <w:suff w:val="nothing"/>
      <w:lvlText w:val="%1）"/>
      <w:lvlJc w:val="left"/>
      <w:pPr>
        <w:tabs>
          <w:tab w:val="left" w:pos="0"/>
        </w:tabs>
        <w:ind w:left="420" w:leftChars="0" w:firstLine="0" w:firstLineChars="0"/>
      </w:pPr>
      <w:rPr>
        <w:rFonts w:hint="default"/>
      </w:rPr>
    </w:lvl>
  </w:abstractNum>
  <w:abstractNum w:abstractNumId="4">
    <w:nsid w:val="7C4477E3"/>
    <w:multiLevelType w:val="singleLevel"/>
    <w:tmpl w:val="7C4477E3"/>
    <w:lvl w:ilvl="0" w:tentative="0">
      <w:start w:val="1"/>
      <w:numFmt w:val="decimal"/>
      <w:suff w:val="space"/>
      <w:lvlText w:val="[%1]"/>
      <w:lvlJc w:val="left"/>
      <w:pPr>
        <w:ind w:left="0" w:firstLine="0"/>
      </w:pPr>
      <w:rPr>
        <w:rFonts w:hint="default"/>
        <w:color w:val="auto"/>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65707"/>
    <w:rsid w:val="0A833D52"/>
    <w:rsid w:val="14001192"/>
    <w:rsid w:val="44965707"/>
    <w:rsid w:val="53557B56"/>
    <w:rsid w:val="6399042B"/>
    <w:rsid w:val="658F4ED0"/>
    <w:rsid w:val="6BEE1034"/>
    <w:rsid w:val="711E1934"/>
    <w:rsid w:val="729868CE"/>
    <w:rsid w:val="755D5018"/>
    <w:rsid w:val="78794841"/>
    <w:rsid w:val="78B638A1"/>
    <w:rsid w:val="7CFF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heme="minorBidi"/>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heme="minorAscii" w:hAnsiTheme="minorAscii"/>
      <w:b/>
      <w:kern w:val="44"/>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9">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kern w:val="0"/>
      <w:sz w:val="32"/>
      <w:szCs w:val="20"/>
      <w:lang w:val="en-US" w:eastAsia="zh-CN" w:bidi="ar-SA"/>
    </w:rPr>
  </w:style>
  <w:style w:type="paragraph" w:customStyle="1" w:styleId="10">
    <w:name w:val="标准文件_段"/>
    <w:basedOn w:val="1"/>
    <w:qFormat/>
    <w:uiPriority w:val="0"/>
    <w:pPr>
      <w:autoSpaceDE w:val="0"/>
      <w:autoSpaceDN w:val="0"/>
      <w:ind w:firstLine="200" w:firstLineChars="200"/>
    </w:pPr>
    <w:rPr>
      <w:rFonts w:hint="eastAsia" w:ascii="宋体" w:hAnsi="Times New Roman" w:eastAsia="宋体" w:cs="Times New Roman"/>
      <w:kern w:val="0"/>
      <w:szCs w:val="21"/>
    </w:rPr>
  </w:style>
  <w:style w:type="paragraph" w:customStyle="1" w:styleId="11">
    <w:name w:val="标准文件_参考文献标题"/>
    <w:basedOn w:val="1"/>
    <w:next w:val="1"/>
    <w:qFormat/>
    <w:uiPriority w:val="0"/>
    <w:pPr>
      <w:widowControl/>
      <w:shd w:val="clear" w:color="FFFFFF" w:fill="FFFFFF"/>
      <w:spacing w:beforeLines="40" w:afterLines="50"/>
      <w:jc w:val="center"/>
      <w:outlineLvl w:val="0"/>
    </w:pPr>
    <w:rPr>
      <w:rFonts w:ascii="黑体"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7383a58d-72de-4592-aee2-c38845547ccd</errorID>
      <errorWord>试验</errorWord>
      <group>L1_Word</group>
      <groupName>字词问题</groupName>
      <ability>L2_Typo</ability>
      <abilityName>字词错误</abilityName>
      <candidateList>
        <item>实验</item>
      </candidateList>
      <explain/>
      <paraID>62C605A8</paraID>
      <start>23</start>
      <end>25</end>
      <status>unmodified</status>
      <modifiedWord/>
      <trackRevisions>false</trackRevisions>
    </reviewItem>
    <reviewItem>
      <errorID>4ba44ac8-7cde-446e-aea9-bd24f4f71670</errorID>
      <errorWord>试验</errorWord>
      <group>L1_Word</group>
      <groupName>字词问题</groupName>
      <ability>L2_Typo</ability>
      <abilityName>字词错误</abilityName>
      <candidateList>
        <item>实验</item>
      </candidateList>
      <explain/>
      <paraID>2724243C</paraID>
      <start>23</start>
      <end>25</end>
      <status>unmodified</status>
      <modifiedWord/>
      <trackRevisions>false</trackRevisions>
    </reviewItem>
    <reviewItem>
      <errorID>75cb7b94-f39e-4efa-ac26-0720b5f68ad7</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24E5FD</paraID>
      <start>40</start>
      <end>43</end>
      <status>modified</status>
      <modifiedWord>为</modifiedWord>
      <trackRevisions>true</trackRevisions>
    </reviewItem>
    <reviewItem>
      <errorID>63b5c00d-f7d7-4698-a6dd-eb8f5af4f689</errorID>
      <errorWord>可靠性和相关</errorWord>
      <group>L1_Grammar</group>
      <groupName>语法问题</groupName>
      <ability>L2_Order</ability>
      <abilityName>语序不当</abilityName>
      <candidateList>
        <item>相关性和可靠</item>
      </candidateList>
      <explain>句子可能没有遵循时空、逻辑顺序，或者介词、关联词等位置不当。</explain>
      <paraID>5F079EA6</paraID>
      <start>37</start>
      <end>43</end>
      <status>unmodified</status>
      <modifiedWord/>
      <trackRevisions>false</trackRevisions>
    </reviewItem>
    <reviewItem>
      <errorID>acd02bd9-4324-4fb4-908a-661b126e4a9b</errorID>
      <errorWord>一次</errorWord>
      <group>L1_Word</group>
      <groupName>字词问题</groupName>
      <ability>L2_Typo</ability>
      <abilityName>字词错误</abilityName>
      <candidateList>
        <item>依次</item>
      </candidateList>
      <explain/>
      <paraID>7B05BC0C</paraID>
      <start>0</start>
      <end>2</end>
      <status>unmodified</status>
      <modifiedWord/>
      <trackRevisions>false</trackRevisions>
    </reviewItem>
    <reviewItem>
      <errorID>bbe10059-c271-422d-ba9f-3adef56876ce</errorID>
      <errorWord>最少</errorWord>
      <group>L1_Word</group>
      <groupName>字词问题</groupName>
      <ability>L2_Typo</ability>
      <abilityName>字词错误</abilityName>
      <candidateList>
        <item>至少</item>
      </candidateList>
      <explain/>
      <paraID>52721070</paraID>
      <start>22</start>
      <end>24</end>
      <status>unmodified</status>
      <modifiedWord/>
      <trackRevisions>false</trackRevisions>
    </reviewItem>
    <reviewItem>
      <errorID>53a401b5-a069-4861-94ee-910824878746</errorID>
      <errorWord>(</errorWord>
      <group>L1_Format</group>
      <groupName>格式问题</groupName>
      <ability>L2_HalfPunc</ability>
      <abilityName>全半角检查</abilityName>
      <candidateList>
        <item>（</item>
      </candidateList>
      <explain>文本全半角错误。</explain>
      <paraID>33B66BF2</paraID>
      <start>46</start>
      <end>47</end>
      <status>unmodified</status>
      <modifiedWord/>
      <trackRevisions>false</trackRevisions>
    </reviewItem>
    <reviewItem>
      <errorID>eb82a5c3-e312-42ff-8dda-f5f453a248c6</errorID>
      <errorWord>)</errorWord>
      <group>L1_Format</group>
      <groupName>格式问题</groupName>
      <ability>L2_HalfPunc</ability>
      <abilityName>全半角检查</abilityName>
      <candidateList>
        <item>）</item>
      </candidateList>
      <explain>文本全半角错误。</explain>
      <paraID>33B66BF2</paraID>
      <start>61</start>
      <end>62</end>
      <status>unmodified</status>
      <modifiedWord/>
      <trackRevisions>false</trackRevisions>
    </reviewItem>
    <reviewItem>
      <errorID>48fc7643-e9d1-4edf-916f-f03b2c53c7b7</errorID>
      <errorWord>(</errorWord>
      <group>L1_Format</group>
      <groupName>格式问题</groupName>
      <ability>L2_HalfPunc</ability>
      <abilityName>全半角检查</abilityName>
      <candidateList>
        <item>（</item>
      </candidateList>
      <explain>文本全半角错误。</explain>
      <paraID>66A08D87</paraID>
      <start>18</start>
      <end>19</end>
      <status>unmodified</status>
      <modifiedWord/>
      <trackRevisions>false</trackRevisions>
    </reviewItem>
    <reviewItem>
      <errorID>6f993245-d6a5-4b98-91b3-42491d23ae6b</errorID>
      <errorWord>)</errorWord>
      <group>L1_Format</group>
      <groupName>格式问题</groupName>
      <ability>L2_HalfPunc</ability>
      <abilityName>全半角检查</abilityName>
      <candidateList>
        <item>）</item>
      </candidateList>
      <explain>文本全半角错误。</explain>
      <paraID>66A08D87</paraID>
      <start>28</start>
      <end>29</end>
      <status>unmodified</status>
      <modifiedWord/>
      <trackRevisions>false</trackRevisions>
    </reviewItem>
    <reviewItem>
      <errorID>23765998-9a5e-4a34-a64c-a751c3d20945</errorID>
      <errorWord>(</errorWord>
      <group>L1_Format</group>
      <groupName>格式问题</groupName>
      <ability>L2_HalfPunc</ability>
      <abilityName>全半角检查</abilityName>
      <candidateList>
        <item>（</item>
      </candidateList>
      <explain>文本全半角错误。</explain>
      <paraID>66A08D87</paraID>
      <start>38</start>
      <end>39</end>
      <status>unmodified</status>
      <modifiedWord/>
      <trackRevisions>false</trackRevisions>
    </reviewItem>
    <reviewItem>
      <errorID>113015cf-5503-4409-a03c-3d1c99686b2a</errorID>
      <errorWord>)</errorWord>
      <group>L1_Format</group>
      <groupName>格式问题</groupName>
      <ability>L2_HalfPunc</ability>
      <abilityName>全半角检查</abilityName>
      <candidateList>
        <item>）</item>
      </candidateList>
      <explain>文本全半角错误。</explain>
      <paraID>66A08D87</paraID>
      <start>45</start>
      <end>46</end>
      <status>unmodified</status>
      <modifiedWord/>
      <trackRevisions>false</trackRevisions>
    </reviewItem>
    <reviewItem>
      <errorID>0bfddbb7-6c76-459c-85b7-a2c6fac2da2a</errorID>
      <errorWord>-</errorWord>
      <group>L1_Knowledge</group>
      <groupName>知识性问题</groupName>
      <ability>L2_Knowledge</ability>
      <abilityName>其他知识</abilityName>
      <candidateList>
        <item>%～</item>
      </candidateList>
      <explain>百分号用法检查</explain>
      <paraID>7838A994</paraID>
      <start>11</start>
      <end>12</end>
      <status>unmodified</status>
      <modifiedWord/>
      <trackRevisions>false</trackRevisions>
    </reviewItem>
    <reviewItem>
      <errorID>7ca05847-3d6c-4b77-b383-0cd544e07130</errorID>
      <errorWord>（</errorWord>
      <group>L1_Punc</group>
      <groupName>标点问题</groupName>
      <ability>L2_Punc</ability>
      <abilityName>标点符号检查</abilityName>
      <candidateList/>
      <explain>同一形式括号套用。</explain>
      <paraID>7CEC1479</paraID>
      <start>155</start>
      <end>156</end>
      <status>unmodified</status>
      <modifiedWord/>
      <trackRevisions>false</trackRevisions>
    </reviewItem>
    <reviewItem>
      <errorID>369d326e-5a00-4eea-af46-5d0539cd075f</errorID>
      <errorWord>）</errorWord>
      <group>L1_Punc</group>
      <groupName>标点问题</groupName>
      <ability>L2_Punc</ability>
      <abilityName>标点符号检查</abilityName>
      <candidateList/>
      <explain>同一形式括号套用。</explain>
      <paraID>7CEC1479</paraID>
      <start>159</start>
      <end>160</end>
      <status>unmodified</status>
      <modifiedWord/>
      <trackRevisions>false</trackRevisions>
    </reviewItem>
    <reviewItem>
      <errorID>2d067e76-594e-416f-840e-a56905226030</errorID>
      <errorWord>（</errorWord>
      <group>L1_Punc</group>
      <groupName>标点问题</groupName>
      <ability>L2_Punc</ability>
      <abilityName>标点符号检查</abilityName>
      <candidateList/>
      <explain>同一形式括号套用。</explain>
      <paraID>7CEC1479</paraID>
      <start>172</start>
      <end>173</end>
      <status>unmodified</status>
      <modifiedWord/>
      <trackRevisions>false</trackRevisions>
    </reviewItem>
    <reviewItem>
      <errorID>863cea62-2346-426f-aa97-573beee8c1b5</errorID>
      <errorWord>）</errorWord>
      <group>L1_Punc</group>
      <groupName>标点问题</groupName>
      <ability>L2_Punc</ability>
      <abilityName>标点符号检查</abilityName>
      <candidateList/>
      <explain>同一形式括号套用。</explain>
      <paraID>7CEC1479</paraID>
      <start>176</start>
      <end>177</end>
      <status>unmodified</status>
      <modifiedWord/>
      <trackRevisions>false</trackRevisions>
    </reviewItem>
    <reviewItem>
      <errorID>5b74a03b-064e-4117-a18b-6e5d5a277efb</errorID>
      <errorWord>试验</errorWord>
      <group>L1_Word</group>
      <groupName>字词问题</groupName>
      <ability>L2_Typo</ability>
      <abilityName>字词错误</abilityName>
      <candidateList>
        <item>实验</item>
      </candidateList>
      <explain/>
      <paraID> 902EBEF</paraID>
      <start>25</start>
      <end>27</end>
      <status>unmodified</status>
      <modifiedWord/>
      <trackRevisions>false</trackRevisions>
    </reviewItem>
    <reviewItem>
      <errorID>acd7a892-30d1-466b-994f-b5ea5e9ddef7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47A253E4</paraID>
      <start>21</start>
      <end>22</end>
      <status>unmodified</status>
      <modifiedWord/>
      <trackRevisions>false</trackRevisions>
    </reviewItem>
    <reviewItem>
      <errorID>dc31d3ac-5013-432e-82b4-77b736dde568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2FFC48FE</paraID>
      <start>54</start>
      <end>55</end>
      <status>unmodified</status>
      <modifiedWord/>
      <trackRevisions>false</trackRevisions>
    </reviewItem>
    <reviewItem>
      <errorID>b3cf4ef7-6621-4f02-8778-7c0c26aea7ce</errorID>
      <errorWord>（&gt;</errorWord>
      <group>L1_Punc</group>
      <groupName>标点问题</groupName>
      <ability>L2_Punc</ability>
      <abilityName>标点符号检查</abilityName>
      <candidateList>
        <item>（</item>
      </candidateList>
      <explain/>
      <paraID>25FED142</paraID>
      <start>39</start>
      <end>41</end>
      <status>unmodified</status>
      <modifiedWord/>
      <trackRevisions>false</trackRevisions>
    </reviewItem>
    <reviewItem>
      <errorID>29b3cbd9-1c4d-4082-a13c-e6ff5dac2cc3</errorID>
      <errorWord>重复实验</errorWord>
      <group>L1_Word</group>
      <groupName>字词问题</groupName>
      <ability>L2_Typo</ability>
      <abilityName>字词错误</abilityName>
      <candidateList>
        <item>重复试验</item>
      </candidateList>
      <explain/>
      <paraID>26F2D301</paraID>
      <start>365</start>
      <end>369</end>
      <status>unmodified</status>
      <modifiedWord/>
      <trackRevisions>false</trackRevisions>
    </reviewItem>
    <reviewItem>
      <errorID>5aaf6d40-7976-4711-9bd5-c2d0090a63c4</errorID>
      <errorWord>实验</errorWord>
      <group>L1_Word</group>
      <groupName>字词问题</groupName>
      <ability>L2_Typo</ability>
      <abilityName>字词错误</abilityName>
      <candidateList>
        <item>试验</item>
      </candidateList>
      <explain/>
      <paraID>76A46449</paraID>
      <start>58</start>
      <end>60</end>
      <status>unmodified</status>
      <modifiedWord/>
      <trackRevisions>false</trackRevisions>
    </reviewItem>
    <reviewItem>
      <errorID>5cceb7fc-e18d-4504-9be7-eacbcecf50f6</errorID>
      <errorWord>水扬酸甲酯</errorWord>
      <group>L1_Word</group>
      <groupName>字词问题</groupName>
      <ability>L2_Typo</ability>
      <abilityName>字词错误</abilityName>
      <candidateList>
        <item>水杨酸甲酯</item>
      </candidateList>
      <explain>存在发音相同字词的误用。</explain>
      <paraID>35033955</paraID>
      <start>0</start>
      <end>10</end>
      <status>modified</status>
      <modifiedWord>水杨酸甲酯</modifiedWord>
      <trackRevisions>true</trackRevisions>
    </reviewItem>
    <reviewItem>
      <errorID>3a896970-3bc1-4492-8f88-b6f56fbf683c</errorID>
      <errorWord>(</errorWord>
      <group>L1_Punc</group>
      <groupName>标点问题</groupName>
      <ability>L2_Punc</ability>
      <abilityName>标点符号检查</abilityName>
      <candidateList/>
      <explain/>
      <paraID>1BD5061D</paraID>
      <start>25</start>
      <end>26</end>
      <status>unmodified</status>
      <modifiedWord/>
      <trackRevisions>false</trackRevisions>
    </reviewItem>
    <reviewItem>
      <errorID>85ea69c5-30f1-4222-8ca3-5eb633552d49</errorID>
      <errorWord>、</errorWord>
      <group>L1_Punc</group>
      <groupName>标点问题</groupName>
      <ability>L2_Punc</ability>
      <abilityName>标点符号检查</abilityName>
      <candidateList>
        <item>.</item>
      </candidateList>
      <explain/>
      <paraID>16AF383B</paraID>
      <start>1</start>
      <end>2</end>
      <status>unmodified</status>
      <modifiedWord/>
      <trackRevisions>false</trackRevisions>
    </reviewItem>
    <reviewItem>
      <errorID>a0f78ab8-b7b8-4fd7-857c-7ace04c71b59</errorID>
      <errorWord>、</errorWord>
      <group>L1_Punc</group>
      <groupName>标点问题</groupName>
      <ability>L2_Punc</ability>
      <abilityName>标点符号检查</abilityName>
      <candidateList>
        <item>.</item>
      </candidateList>
      <explain/>
      <paraID>78A227F6</paraID>
      <start>1</start>
      <end>2</end>
      <status>unmodified</status>
      <modifiedWord/>
      <trackRevisions>false</trackRevisions>
    </reviewItem>
    <reviewItem>
      <errorID>0667222f-9b95-41f5-9623-754ee9822a6b</errorID>
      <errorWord>(</errorWord>
      <group>L1_Format</group>
      <groupName>格式问题</groupName>
      <ability>L2_HalfPunc</ability>
      <abilityName>全半角检查</abilityName>
      <candidateList>
        <item>（</item>
      </candidateList>
      <explain>文本全半角错误。</explain>
      <paraID>71E82133</paraID>
      <start>49</start>
      <end>50</end>
      <status>unmodified</status>
      <modifiedWord/>
      <trackRevisions>false</trackRevisions>
    </reviewItem>
    <reviewItem>
      <errorID>6bee6169-d7c8-4143-ae0f-4ce780e0443a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3F4C89A</paraID>
      <start>26</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45fa9-7dfb-4029-bc42-fa7f4d0730c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7036</Words>
  <Characters>8642</Characters>
  <Lines>0</Lines>
  <Paragraphs>0</Paragraphs>
  <TotalTime>29</TotalTime>
  <ScaleCrop>false</ScaleCrop>
  <LinksUpToDate>false</LinksUpToDate>
  <CharactersWithSpaces>8869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2025-06-09T08:19:00Z</dcterms:created>
  <dc:creator>Yanbin Wan</dc:creator>
  <cp:lastModifiedBy>Julian</cp:lastModifiedBy>
  <dcterms:modified xsi:type="dcterms:W3CDTF">2025-11-14T02:40:04Z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1F1888CC85234799BE555727B4827891_13</vt:lpwstr>
  </property>
  <property fmtid="{D5CDD505-2E9C-101B-9397-08002B2CF9AE}" pid="4" name="KSOTemplateDocerSaveRecord">
    <vt:lpwstr>eyJoZGlkIjoiOGI4NjI5OTBmMDM1ODFlMDkzNDFlZTFiMWNhZWU5ZTMiLCJ1c2VySWQiOiIzMDk3NTI4ODEifQ==</vt:lpwstr>
  </property>
</Properties>
</file>