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E8776">
      <w:pPr>
        <w:jc w:val="center"/>
        <w:rPr>
          <w:rFonts w:ascii="黑体" w:eastAsia="黑体"/>
          <w:sz w:val="28"/>
          <w:szCs w:val="28"/>
        </w:rPr>
      </w:pPr>
      <w:r>
        <w:rPr>
          <w:rFonts w:hint="eastAsia" w:ascii="黑体" w:eastAsia="黑体"/>
          <w:sz w:val="28"/>
          <w:szCs w:val="28"/>
        </w:rPr>
        <w:t>《</w:t>
      </w:r>
      <w:bookmarkStart w:id="0" w:name="OLE_LINK2"/>
      <w:bookmarkStart w:id="1" w:name="OLE_LINK3"/>
      <w:r>
        <w:rPr>
          <w:rFonts w:hint="eastAsia" w:ascii="黑体" w:eastAsia="黑体"/>
          <w:sz w:val="28"/>
          <w:szCs w:val="28"/>
        </w:rPr>
        <w:t>动物源性干态瓣叶材料的评价方法</w:t>
      </w:r>
      <w:bookmarkEnd w:id="0"/>
      <w:bookmarkEnd w:id="1"/>
      <w:r>
        <w:rPr>
          <w:rFonts w:hint="eastAsia" w:ascii="黑体" w:eastAsia="黑体"/>
          <w:sz w:val="28"/>
          <w:szCs w:val="28"/>
        </w:rPr>
        <w:t>》</w:t>
      </w:r>
    </w:p>
    <w:p w14:paraId="727F81CC">
      <w:pPr>
        <w:jc w:val="center"/>
        <w:rPr>
          <w:rFonts w:ascii="黑体" w:eastAsia="黑体"/>
          <w:sz w:val="28"/>
          <w:szCs w:val="28"/>
        </w:rPr>
      </w:pPr>
      <w:r>
        <w:rPr>
          <w:rFonts w:hint="eastAsia" w:ascii="黑体" w:eastAsia="黑体"/>
          <w:sz w:val="28"/>
          <w:szCs w:val="28"/>
        </w:rPr>
        <w:t>团体标准编制说明</w:t>
      </w:r>
    </w:p>
    <w:p w14:paraId="20A35756">
      <w:pPr>
        <w:spacing w:before="156" w:beforeLines="50" w:after="156" w:afterLines="50"/>
        <w:outlineLvl w:val="0"/>
        <w:rPr>
          <w:rFonts w:ascii="黑体" w:hAnsi="宋体" w:eastAsia="黑体"/>
          <w:sz w:val="24"/>
        </w:rPr>
      </w:pPr>
      <w:r>
        <w:rPr>
          <w:rFonts w:hint="eastAsia" w:ascii="黑体" w:hAnsi="宋体" w:eastAsia="黑体"/>
          <w:sz w:val="24"/>
        </w:rPr>
        <w:t>一、工作简况</w:t>
      </w:r>
    </w:p>
    <w:p w14:paraId="355A4B32">
      <w:pPr>
        <w:spacing w:line="360" w:lineRule="auto"/>
        <w:ind w:firstLine="480" w:firstLineChars="200"/>
        <w:rPr>
          <w:rFonts w:ascii="宋体" w:hAnsi="宋体"/>
          <w:sz w:val="24"/>
        </w:rPr>
      </w:pPr>
      <w:r>
        <w:rPr>
          <w:rFonts w:hint="eastAsia" w:ascii="宋体" w:hAnsi="宋体"/>
          <w:sz w:val="24"/>
        </w:rPr>
        <w:t>1.任务来源</w:t>
      </w:r>
    </w:p>
    <w:p w14:paraId="6403858B">
      <w:pPr>
        <w:spacing w:line="360" w:lineRule="auto"/>
        <w:ind w:firstLine="480" w:firstLineChars="200"/>
        <w:rPr>
          <w:rFonts w:ascii="宋体" w:hAnsi="宋体"/>
          <w:sz w:val="24"/>
        </w:rPr>
      </w:pPr>
      <w:r>
        <w:rPr>
          <w:rFonts w:hint="eastAsia" w:ascii="宋体" w:hAnsi="宋体"/>
          <w:sz w:val="24"/>
        </w:rPr>
        <w:t>《动物源性干态瓣叶材料的评价方法》团体标准，由中国生物材料学会标准工作委员会归口，由杭州启明医疗器械股份有限公司牵头起草。202</w:t>
      </w:r>
      <w:r>
        <w:rPr>
          <w:rFonts w:ascii="宋体" w:hAnsi="宋体"/>
          <w:sz w:val="24"/>
        </w:rPr>
        <w:t>4</w:t>
      </w:r>
      <w:r>
        <w:rPr>
          <w:rFonts w:hint="eastAsia" w:ascii="宋体" w:hAnsi="宋体"/>
          <w:sz w:val="24"/>
        </w:rPr>
        <w:t>年1月</w:t>
      </w:r>
      <w:r>
        <w:rPr>
          <w:rFonts w:ascii="宋体" w:hAnsi="宋体"/>
          <w:sz w:val="24"/>
        </w:rPr>
        <w:t>24</w:t>
      </w:r>
      <w:r>
        <w:rPr>
          <w:rFonts w:hint="eastAsia" w:ascii="宋体" w:hAnsi="宋体"/>
          <w:sz w:val="24"/>
        </w:rPr>
        <w:t>日，中国生物材料学会发布了“《动物源性干态瓣叶材料的评价方法》等</w:t>
      </w:r>
      <w:r>
        <w:rPr>
          <w:rFonts w:ascii="宋体" w:hAnsi="宋体"/>
          <w:sz w:val="24"/>
        </w:rPr>
        <w:t>9</w:t>
      </w:r>
      <w:r>
        <w:rPr>
          <w:rFonts w:hint="eastAsia" w:ascii="宋体" w:hAnsi="宋体"/>
          <w:sz w:val="24"/>
        </w:rPr>
        <w:t>项团体标准立项的通知”，《动物源性干态瓣叶材料的评价方法》被列入中国生物材料学会202</w:t>
      </w:r>
      <w:r>
        <w:rPr>
          <w:rFonts w:ascii="宋体" w:hAnsi="宋体"/>
          <w:sz w:val="24"/>
        </w:rPr>
        <w:t>4</w:t>
      </w:r>
      <w:r>
        <w:rPr>
          <w:rFonts w:hint="eastAsia" w:ascii="宋体" w:hAnsi="宋体"/>
          <w:sz w:val="24"/>
        </w:rPr>
        <w:t>年第一批团体标准批准立项清单。</w:t>
      </w:r>
    </w:p>
    <w:p w14:paraId="7627112A">
      <w:pPr>
        <w:spacing w:line="360" w:lineRule="auto"/>
        <w:ind w:firstLine="480" w:firstLineChars="200"/>
        <w:rPr>
          <w:rFonts w:ascii="宋体" w:hAnsi="宋体"/>
          <w:sz w:val="24"/>
        </w:rPr>
      </w:pPr>
      <w:r>
        <w:rPr>
          <w:rFonts w:hint="eastAsia" w:ascii="宋体" w:hAnsi="宋体"/>
          <w:sz w:val="24"/>
        </w:rPr>
        <w:t>2.标准起草单位及起草人</w:t>
      </w:r>
    </w:p>
    <w:p w14:paraId="4DCCFCDA">
      <w:pPr>
        <w:spacing w:line="360" w:lineRule="auto"/>
        <w:ind w:firstLine="480" w:firstLineChars="200"/>
        <w:rPr>
          <w:rFonts w:ascii="宋体" w:hAnsi="宋体"/>
          <w:sz w:val="24"/>
        </w:rPr>
      </w:pPr>
      <w:r>
        <w:rPr>
          <w:rFonts w:hint="eastAsia" w:ascii="宋体" w:hAnsi="宋体"/>
          <w:sz w:val="24"/>
        </w:rPr>
        <w:t>本文件起草单位：</w:t>
      </w:r>
      <w:bookmarkStart w:id="2" w:name="_Hlk137659532"/>
      <w:r>
        <w:rPr>
          <w:rFonts w:hint="eastAsia" w:ascii="宋体" w:hAnsi="宋体"/>
          <w:sz w:val="24"/>
        </w:rPr>
        <w:t>杭州启明医疗器械股份有限公司</w:t>
      </w:r>
      <w:bookmarkEnd w:id="2"/>
      <w:r>
        <w:rPr>
          <w:rFonts w:hint="eastAsia" w:ascii="宋体" w:hAnsi="宋体"/>
          <w:sz w:val="24"/>
        </w:rPr>
        <w:t xml:space="preserve">、四川大学、山东省医疗器械和药品包装检验研究院、浙江省医疗器械检验研究院。 </w:t>
      </w:r>
    </w:p>
    <w:p w14:paraId="1995F761">
      <w:pPr>
        <w:spacing w:line="360" w:lineRule="auto"/>
        <w:ind w:firstLine="480" w:firstLineChars="200"/>
        <w:rPr>
          <w:rFonts w:ascii="宋体" w:hAnsi="宋体"/>
          <w:sz w:val="24"/>
        </w:rPr>
      </w:pPr>
      <w:r>
        <w:rPr>
          <w:rFonts w:hint="eastAsia" w:ascii="宋体" w:hAnsi="宋体"/>
          <w:sz w:val="24"/>
        </w:rPr>
        <w:t>本文件主要起草人：</w:t>
      </w:r>
    </w:p>
    <w:p w14:paraId="293FF88A">
      <w:pPr>
        <w:spacing w:line="360" w:lineRule="auto"/>
        <w:ind w:firstLine="480" w:firstLineChars="200"/>
        <w:rPr>
          <w:rFonts w:ascii="宋体" w:hAnsi="宋体"/>
          <w:sz w:val="24"/>
        </w:rPr>
      </w:pPr>
      <w:r>
        <w:rPr>
          <w:rFonts w:hint="eastAsia" w:ascii="宋体" w:hAnsi="宋体"/>
          <w:sz w:val="24"/>
        </w:rPr>
        <w:t>3.工作过程</w:t>
      </w:r>
    </w:p>
    <w:p w14:paraId="162E97BC">
      <w:pPr>
        <w:spacing w:line="360" w:lineRule="auto"/>
        <w:ind w:firstLine="480" w:firstLineChars="200"/>
        <w:rPr>
          <w:rFonts w:ascii="宋体" w:hAnsi="宋体"/>
          <w:sz w:val="24"/>
        </w:rPr>
      </w:pPr>
      <w:r>
        <w:rPr>
          <w:rFonts w:hint="eastAsia" w:ascii="宋体" w:hAnsi="宋体"/>
          <w:sz w:val="24"/>
        </w:rPr>
        <w:t>接到标准起草任务后，依照《中国生物材料学会团体标准管理办法》，标准起草单位严格按照相关要求及进度安排组织实施，在中国生物材料学会标准工作委员会指导下成立了标准起草工作组。为顺利开展《</w:t>
      </w:r>
      <w:bookmarkStart w:id="3" w:name="OLE_LINK4"/>
      <w:bookmarkStart w:id="4" w:name="OLE_LINK21"/>
      <w:bookmarkStart w:id="5" w:name="OLE_LINK20"/>
      <w:r>
        <w:rPr>
          <w:rFonts w:hint="eastAsia" w:ascii="宋体" w:hAnsi="宋体"/>
          <w:sz w:val="24"/>
        </w:rPr>
        <w:t>动物源性干态瓣叶材料</w:t>
      </w:r>
      <w:bookmarkEnd w:id="3"/>
      <w:r>
        <w:rPr>
          <w:rFonts w:hint="eastAsia" w:ascii="宋体" w:hAnsi="宋体"/>
          <w:sz w:val="24"/>
        </w:rPr>
        <w:t>的评价方法</w:t>
      </w:r>
      <w:bookmarkEnd w:id="4"/>
      <w:bookmarkEnd w:id="5"/>
      <w:r>
        <w:rPr>
          <w:rFonts w:hint="eastAsia" w:ascii="宋体" w:hAnsi="宋体"/>
          <w:sz w:val="24"/>
        </w:rPr>
        <w:t>》团体标准启动工作，对标准关键问题进行初步探讨，同时部署标准起草工作组的任务分工和标准制定工作时间安排。在标准归口单位中国生物材料学会标准工作委员会的指导下，本标准第一起草单位杭州启明医疗器械股份有限公司于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20</w:t>
      </w:r>
      <w:r>
        <w:rPr>
          <w:rFonts w:hint="eastAsia" w:ascii="宋体" w:hAnsi="宋体"/>
          <w:sz w:val="24"/>
        </w:rPr>
        <w:t>日在腾讯会议网络平台组织召开了《动物源性干态瓣叶材料的评价方法》团体标准线上启动会。本次工作组会议就标准立项的前期工作做了简要汇报；明确标准设立的目的和意义；就标准草案的修订内容达成初步意见；就起草工作进行了初步安排和分工；就工作时间</w:t>
      </w:r>
      <w:r>
        <w:rPr>
          <w:rFonts w:hint="eastAsia" w:ascii="宋体" w:hAnsi="宋体"/>
          <w:sz w:val="24"/>
          <w:lang w:eastAsia="zh-CN"/>
        </w:rPr>
        <w:t>节点</w:t>
      </w:r>
      <w:r>
        <w:rPr>
          <w:rFonts w:hint="eastAsia" w:ascii="宋体" w:hAnsi="宋体"/>
          <w:sz w:val="24"/>
        </w:rPr>
        <w:t>进行了确认。</w:t>
      </w:r>
    </w:p>
    <w:p w14:paraId="147FB35C">
      <w:pPr>
        <w:spacing w:line="360" w:lineRule="auto"/>
        <w:ind w:firstLine="480" w:firstLineChars="200"/>
        <w:rPr>
          <w:rFonts w:ascii="宋体" w:hAnsi="宋体"/>
          <w:sz w:val="24"/>
        </w:rPr>
      </w:pPr>
      <w:r>
        <w:rPr>
          <w:rFonts w:hint="eastAsia" w:ascii="宋体" w:hAnsi="宋体"/>
          <w:sz w:val="24"/>
        </w:rPr>
        <w:t>启动会议后，本标准制定工作全面展开，本标准第一起草单位杭州启明医疗器械股份有限公司对动物源性干态瓣叶材料相关的内容进行识别与分析并列出标准大纲。202</w:t>
      </w:r>
      <w:r>
        <w:rPr>
          <w:rFonts w:ascii="宋体" w:hAnsi="宋体"/>
          <w:sz w:val="24"/>
        </w:rPr>
        <w:t>4</w:t>
      </w:r>
      <w:r>
        <w:rPr>
          <w:rFonts w:hint="eastAsia" w:ascii="宋体" w:hAnsi="宋体"/>
          <w:sz w:val="24"/>
        </w:rPr>
        <w:t>年</w:t>
      </w:r>
      <w:r>
        <w:rPr>
          <w:rFonts w:ascii="宋体" w:hAnsi="宋体"/>
          <w:sz w:val="24"/>
        </w:rPr>
        <w:t>4</w:t>
      </w:r>
      <w:r>
        <w:rPr>
          <w:rFonts w:hint="eastAsia" w:ascii="宋体" w:hAnsi="宋体"/>
          <w:sz w:val="24"/>
        </w:rPr>
        <w:t>月初本标准第一起草单位杭州启明医疗器械股份有限公司发起会议，组织标准起草工作组成员对标准大纲框架进行深入讨论，并确定团标大框</w:t>
      </w:r>
      <w:r>
        <w:rPr>
          <w:rFonts w:ascii="宋体" w:hAnsi="宋体"/>
          <w:sz w:val="24"/>
        </w:rPr>
        <w:t>内容</w:t>
      </w:r>
      <w:r>
        <w:rPr>
          <w:rFonts w:hint="eastAsia" w:ascii="宋体" w:hAnsi="宋体"/>
          <w:sz w:val="24"/>
        </w:rPr>
        <w:t>。2</w:t>
      </w:r>
      <w:r>
        <w:rPr>
          <w:rFonts w:ascii="宋体" w:hAnsi="宋体"/>
          <w:sz w:val="24"/>
        </w:rPr>
        <w:t>024年7月底</w:t>
      </w:r>
      <w:r>
        <w:rPr>
          <w:rFonts w:hint="eastAsia" w:ascii="宋体" w:hAnsi="宋体"/>
          <w:sz w:val="24"/>
        </w:rPr>
        <w:t>完成了标准草案大纲中列出的重点项目的数据搜集和分析工作。202</w:t>
      </w:r>
      <w:r>
        <w:rPr>
          <w:rFonts w:ascii="宋体" w:hAnsi="宋体"/>
          <w:sz w:val="24"/>
        </w:rPr>
        <w:t>4</w:t>
      </w:r>
      <w:r>
        <w:rPr>
          <w:rFonts w:hint="eastAsia" w:ascii="宋体" w:hAnsi="宋体"/>
          <w:sz w:val="24"/>
        </w:rPr>
        <w:t>年</w:t>
      </w:r>
      <w:r>
        <w:rPr>
          <w:rFonts w:ascii="宋体" w:hAnsi="宋体"/>
          <w:sz w:val="24"/>
        </w:rPr>
        <w:t>8</w:t>
      </w:r>
      <w:r>
        <w:rPr>
          <w:rFonts w:hint="eastAsia" w:ascii="宋体" w:hAnsi="宋体"/>
          <w:sz w:val="24"/>
        </w:rPr>
        <w:t>月初本标准第一起草单位杭州启明医疗器械股份有限公司再次发起会议，对标准起草内容进行初步讨论并将起草任务分模块管理并设立相应负责人，会后向各起草任务负责人发送了标准大纲和任务具体分工。</w:t>
      </w:r>
    </w:p>
    <w:p w14:paraId="02107C69">
      <w:pPr>
        <w:spacing w:line="360" w:lineRule="auto"/>
        <w:ind w:firstLine="480" w:firstLineChars="200"/>
        <w:rPr>
          <w:rFonts w:ascii="宋体" w:hAnsi="宋体"/>
          <w:color w:val="FF0000"/>
          <w:sz w:val="24"/>
        </w:rPr>
      </w:pPr>
      <w:r>
        <w:rPr>
          <w:rFonts w:hint="eastAsia" w:ascii="宋体" w:hAnsi="宋体"/>
          <w:sz w:val="24"/>
        </w:rPr>
        <w:t>202</w:t>
      </w:r>
      <w:r>
        <w:rPr>
          <w:rFonts w:ascii="宋体" w:hAnsi="宋体"/>
          <w:sz w:val="24"/>
        </w:rPr>
        <w:t>4</w:t>
      </w:r>
      <w:r>
        <w:rPr>
          <w:rFonts w:hint="eastAsia" w:ascii="宋体" w:hAnsi="宋体"/>
          <w:sz w:val="24"/>
        </w:rPr>
        <w:t>年</w:t>
      </w:r>
      <w:r>
        <w:rPr>
          <w:rFonts w:ascii="宋体" w:hAnsi="宋体"/>
          <w:sz w:val="24"/>
        </w:rPr>
        <w:t>9</w:t>
      </w:r>
      <w:r>
        <w:rPr>
          <w:rFonts w:hint="eastAsia" w:ascii="宋体" w:hAnsi="宋体"/>
          <w:sz w:val="24"/>
        </w:rPr>
        <w:t>月下旬，标准起草工作基本结束。标准起草工作组根据验证情况对标准草案进行了修改，形成标准征求意见稿，提交中国生物材料学会标准工作委员会进行形式审查。</w:t>
      </w:r>
    </w:p>
    <w:p w14:paraId="4D816D29">
      <w:pPr>
        <w:spacing w:before="156" w:beforeLines="50" w:after="156" w:afterLines="50"/>
        <w:outlineLvl w:val="0"/>
        <w:rPr>
          <w:rFonts w:ascii="黑体" w:hAnsi="宋体" w:eastAsia="黑体"/>
          <w:sz w:val="24"/>
        </w:rPr>
      </w:pPr>
      <w:r>
        <w:rPr>
          <w:rFonts w:hint="eastAsia" w:ascii="黑体" w:hAnsi="宋体" w:eastAsia="黑体"/>
          <w:sz w:val="24"/>
        </w:rPr>
        <w:t>二、确定学会团体标准主要技术内容（如技术指标、参数等）的论据（包括试验、统计数据）</w:t>
      </w:r>
    </w:p>
    <w:p w14:paraId="79458D65">
      <w:pPr>
        <w:spacing w:line="440" w:lineRule="exact"/>
        <w:ind w:firstLine="480" w:firstLineChars="200"/>
        <w:rPr>
          <w:rFonts w:ascii="宋体" w:hAnsi="宋体"/>
          <w:sz w:val="24"/>
        </w:rPr>
      </w:pPr>
      <w:r>
        <w:rPr>
          <w:rFonts w:hint="eastAsia" w:ascii="宋体" w:hAnsi="宋体"/>
          <w:sz w:val="24"/>
        </w:rPr>
        <w:t>本团体标准严格按照 GB/T 1.1-2020《标准化工作导则 第1部分：标准化文件的结构和起草规则》的规则起草。本标准规定了人工生物心脏瓣膜产品中干态瓣叶组件性能要求，适用于经特定干化工艺技术制备而成并以干态形式保存的人工生物心脏瓣膜中动物源性瓣叶材料的评价。</w:t>
      </w:r>
    </w:p>
    <w:p w14:paraId="5C7CE556">
      <w:pPr>
        <w:spacing w:line="440" w:lineRule="exact"/>
        <w:ind w:firstLine="480" w:firstLineChars="200"/>
        <w:rPr>
          <w:rFonts w:ascii="宋体" w:hAnsi="宋体"/>
          <w:sz w:val="24"/>
        </w:rPr>
      </w:pPr>
      <w:r>
        <w:rPr>
          <w:rFonts w:hint="eastAsia" w:ascii="宋体" w:hAnsi="宋体"/>
          <w:sz w:val="24"/>
        </w:rPr>
        <w:t>本标准5</w:t>
      </w:r>
      <w:r>
        <w:rPr>
          <w:rFonts w:ascii="宋体" w:hAnsi="宋体"/>
          <w:sz w:val="24"/>
        </w:rPr>
        <w:t>-8</w:t>
      </w:r>
      <w:r>
        <w:rPr>
          <w:rFonts w:hint="eastAsia" w:ascii="宋体" w:hAnsi="宋体"/>
          <w:sz w:val="24"/>
        </w:rPr>
        <w:t>部分对干膜材料的物理性能、化学性能、生物学性能和微生物学性能做出了详细的要求和评价方法。</w:t>
      </w:r>
    </w:p>
    <w:p w14:paraId="1BFF3FE0">
      <w:pPr>
        <w:spacing w:line="440" w:lineRule="exact"/>
        <w:ind w:firstLine="480" w:firstLineChars="200"/>
        <w:rPr>
          <w:rFonts w:ascii="宋体" w:hAnsi="宋体"/>
          <w:sz w:val="24"/>
        </w:rPr>
      </w:pPr>
      <w:r>
        <w:rPr>
          <w:rFonts w:hint="eastAsia" w:ascii="宋体" w:hAnsi="宋体"/>
          <w:sz w:val="24"/>
        </w:rPr>
        <w:t>本标准9部分针对干膜材料工艺稳定性提出了规定，该要求主要是为了评估干化处理前后瓣膜产品是否受到影响。具体包括干化处理前后干膜材料物理性能和化学性能要求。</w:t>
      </w:r>
    </w:p>
    <w:p w14:paraId="33135A3D">
      <w:pPr>
        <w:spacing w:line="440" w:lineRule="exact"/>
        <w:ind w:firstLine="480" w:firstLineChars="200"/>
        <w:rPr>
          <w:rFonts w:ascii="宋体" w:hAnsi="宋体"/>
          <w:sz w:val="24"/>
        </w:rPr>
      </w:pPr>
      <w:r>
        <w:rPr>
          <w:rFonts w:hint="eastAsia" w:ascii="宋体" w:hAnsi="宋体"/>
          <w:sz w:val="24"/>
        </w:rPr>
        <w:t>本标准1</w:t>
      </w:r>
      <w:r>
        <w:rPr>
          <w:rFonts w:ascii="宋体" w:hAnsi="宋体"/>
          <w:sz w:val="24"/>
        </w:rPr>
        <w:t>0</w:t>
      </w:r>
      <w:r>
        <w:rPr>
          <w:rFonts w:hint="eastAsia" w:ascii="宋体" w:hAnsi="宋体"/>
          <w:sz w:val="24"/>
        </w:rPr>
        <w:t>部分将干膜材料结合心脏瓣膜成品进行评价，对瓣膜的脉动流，稳态流和耐久性提出了要求和评价方式。</w:t>
      </w:r>
    </w:p>
    <w:p w14:paraId="1B51A199">
      <w:pPr>
        <w:spacing w:line="440" w:lineRule="exact"/>
        <w:ind w:firstLine="480" w:firstLineChars="200"/>
        <w:rPr>
          <w:rFonts w:ascii="宋体" w:hAnsi="宋体"/>
          <w:sz w:val="24"/>
        </w:rPr>
      </w:pPr>
      <w:r>
        <w:rPr>
          <w:rFonts w:hint="eastAsia" w:ascii="宋体" w:hAnsi="宋体"/>
          <w:sz w:val="24"/>
        </w:rPr>
        <w:t>本标准制定参考的主要依据包括：</w:t>
      </w:r>
      <w:r>
        <w:rPr>
          <w:rFonts w:ascii="宋体" w:hAnsi="宋体"/>
          <w:sz w:val="24"/>
        </w:rPr>
        <w:t>ISO 5840-1</w:t>
      </w:r>
      <w:r>
        <w:rPr>
          <w:rFonts w:hint="eastAsia" w:ascii="宋体" w:hAnsi="宋体"/>
          <w:sz w:val="24"/>
        </w:rPr>
        <w:t>、I</w:t>
      </w:r>
      <w:r>
        <w:rPr>
          <w:rFonts w:ascii="宋体" w:hAnsi="宋体"/>
          <w:sz w:val="24"/>
        </w:rPr>
        <w:t>SO 5840-2</w:t>
      </w:r>
      <w:r>
        <w:rPr>
          <w:rFonts w:hint="eastAsia" w:ascii="宋体" w:hAnsi="宋体"/>
          <w:sz w:val="24"/>
        </w:rPr>
        <w:t>、I</w:t>
      </w:r>
      <w:r>
        <w:rPr>
          <w:rFonts w:ascii="宋体" w:hAnsi="宋体"/>
          <w:sz w:val="24"/>
        </w:rPr>
        <w:t>SO 5840-3</w:t>
      </w:r>
      <w:r>
        <w:rPr>
          <w:rFonts w:hint="eastAsia" w:ascii="宋体" w:hAnsi="宋体"/>
          <w:sz w:val="24"/>
        </w:rPr>
        <w:t>、G</w:t>
      </w:r>
      <w:r>
        <w:rPr>
          <w:rFonts w:ascii="宋体" w:hAnsi="宋体"/>
          <w:sz w:val="24"/>
        </w:rPr>
        <w:t>B/T 16886</w:t>
      </w:r>
      <w:r>
        <w:rPr>
          <w:rFonts w:hint="eastAsia" w:ascii="宋体" w:hAnsi="宋体"/>
          <w:sz w:val="24"/>
        </w:rPr>
        <w:t>系列、中华人民共和国药典（2020年版 四部）以及标准起草单位多年来从事人工心脏瓣膜生产、检测积累的经验，并结合动物源性干态瓣叶的特性、生产工艺和预期用途等确定动物源性干态瓣叶材料的主要性能要求及相关的推荐方法，最终形成本标准的内容。</w:t>
      </w:r>
    </w:p>
    <w:p w14:paraId="25B12028">
      <w:pPr>
        <w:spacing w:before="156" w:beforeLines="50" w:after="156" w:afterLines="50"/>
        <w:outlineLvl w:val="0"/>
        <w:rPr>
          <w:rFonts w:ascii="黑体" w:hAnsi="宋体" w:eastAsia="黑体"/>
          <w:sz w:val="24"/>
        </w:rPr>
      </w:pPr>
      <w:r>
        <w:rPr>
          <w:rFonts w:hint="eastAsia" w:ascii="黑体" w:hAnsi="宋体" w:eastAsia="黑体"/>
          <w:sz w:val="24"/>
          <w:lang w:eastAsia="zh-CN"/>
        </w:rPr>
        <w:t>三、</w:t>
      </w:r>
      <w:r>
        <w:rPr>
          <w:rFonts w:hint="eastAsia"/>
        </w:rPr>
        <w:t xml:space="preserve"> </w:t>
      </w:r>
      <w:r>
        <w:rPr>
          <w:rFonts w:hint="eastAsia" w:ascii="黑体" w:hAnsi="宋体" w:eastAsia="黑体"/>
          <w:sz w:val="24"/>
        </w:rPr>
        <w:t>主要试验（验证）的分析、综述报告，技术经济论证，预期的经济效果</w:t>
      </w:r>
    </w:p>
    <w:p w14:paraId="78FACE96">
      <w:pPr>
        <w:spacing w:line="360" w:lineRule="auto"/>
        <w:ind w:firstLine="480" w:firstLineChars="200"/>
        <w:rPr>
          <w:rFonts w:ascii="宋体" w:hAnsi="宋体"/>
          <w:sz w:val="24"/>
        </w:rPr>
      </w:pPr>
      <w:r>
        <w:rPr>
          <w:rFonts w:ascii="宋体" w:hAnsi="宋体"/>
          <w:sz w:val="24"/>
        </w:rPr>
        <w:t>该标准为通用要求标准，标准中无具体性能指标和</w:t>
      </w:r>
      <w:r>
        <w:rPr>
          <w:rFonts w:hint="eastAsia" w:ascii="宋体" w:hAnsi="宋体"/>
          <w:sz w:val="24"/>
          <w:lang w:eastAsia="zh-CN"/>
        </w:rPr>
        <w:t>试验方法</w:t>
      </w:r>
      <w:r>
        <w:rPr>
          <w:rFonts w:ascii="宋体" w:hAnsi="宋体"/>
          <w:sz w:val="24"/>
        </w:rPr>
        <w:t>。标准中</w:t>
      </w:r>
      <w:r>
        <w:rPr>
          <w:rFonts w:hint="eastAsia" w:ascii="宋体" w:hAnsi="宋体"/>
          <w:sz w:val="24"/>
        </w:rPr>
        <w:t>提到的通用性的</w:t>
      </w:r>
      <w:r>
        <w:rPr>
          <w:rFonts w:ascii="宋体" w:hAnsi="宋体"/>
          <w:sz w:val="24"/>
        </w:rPr>
        <w:t>体外评估的具体要求见</w:t>
      </w:r>
      <w:r>
        <w:rPr>
          <w:rFonts w:hint="eastAsia" w:ascii="宋体" w:hAnsi="宋体"/>
          <w:sz w:val="24"/>
        </w:rPr>
        <w:t>ISO 5840-1、ISO 5840-2、ISO 5840-3、GB/T</w:t>
      </w:r>
      <w:r>
        <w:rPr>
          <w:rFonts w:ascii="宋体" w:hAnsi="宋体"/>
          <w:sz w:val="24"/>
        </w:rPr>
        <w:t xml:space="preserve"> </w:t>
      </w:r>
      <w:r>
        <w:rPr>
          <w:rFonts w:hint="eastAsia" w:ascii="宋体" w:hAnsi="宋体"/>
          <w:sz w:val="24"/>
        </w:rPr>
        <w:t>16886系列、中华人民共和国药典（2020年版 四部）等。</w:t>
      </w:r>
    </w:p>
    <w:p w14:paraId="54E138C5">
      <w:pPr>
        <w:spacing w:line="360" w:lineRule="auto"/>
        <w:ind w:firstLine="480" w:firstLineChars="200"/>
        <w:rPr>
          <w:rFonts w:ascii="宋体" w:hAnsi="宋体"/>
          <w:sz w:val="24"/>
        </w:rPr>
      </w:pPr>
      <w:r>
        <w:rPr>
          <w:rFonts w:hint="eastAsia" w:ascii="宋体" w:hAnsi="宋体"/>
          <w:sz w:val="24"/>
        </w:rPr>
        <w:t>现有动物源性心包瓣叶材料性能评价可参考的标准主要为</w:t>
      </w:r>
      <w:r>
        <w:rPr>
          <w:rFonts w:ascii="宋体" w:hAnsi="宋体"/>
          <w:sz w:val="24"/>
        </w:rPr>
        <w:t>T/CSBM 0031-2023</w:t>
      </w:r>
      <w:r>
        <w:rPr>
          <w:rFonts w:hint="eastAsia" w:ascii="宋体" w:hAnsi="宋体"/>
          <w:sz w:val="24"/>
        </w:rPr>
        <w:t>，该标准主要针对的是湿态保存的瓣叶材料，尚无针对干态瓣叶的相关细化标准要求，如干化工艺稳定和存储稳定等。因此，现亟需相对细化的、针对动物源性干态瓣叶材料的标准，以帮助确定以干态瓣叶为原材料的人工生物心脏瓣膜的安全性和有效性。</w:t>
      </w:r>
    </w:p>
    <w:p w14:paraId="48D44F92">
      <w:pPr>
        <w:spacing w:before="156" w:beforeLines="50" w:after="156" w:afterLines="50"/>
        <w:outlineLvl w:val="0"/>
        <w:rPr>
          <w:rFonts w:ascii="黑体" w:hAnsi="宋体" w:eastAsia="黑体"/>
          <w:sz w:val="24"/>
        </w:rPr>
      </w:pPr>
      <w:r>
        <w:rPr>
          <w:rFonts w:hint="eastAsia" w:ascii="黑体" w:hAnsi="宋体" w:eastAsia="黑体"/>
          <w:sz w:val="24"/>
        </w:rPr>
        <w:t>四、采用国际标准的程度及水平的简要说明</w:t>
      </w:r>
    </w:p>
    <w:p w14:paraId="253B8D30">
      <w:pPr>
        <w:spacing w:line="360" w:lineRule="auto"/>
        <w:ind w:firstLine="480" w:firstLineChars="200"/>
        <w:rPr>
          <w:sz w:val="24"/>
        </w:rPr>
      </w:pPr>
      <w:r>
        <w:rPr>
          <w:sz w:val="24"/>
        </w:rPr>
        <w:t xml:space="preserve">本标准修改采用 </w:t>
      </w:r>
      <w:bookmarkStart w:id="6" w:name="OLE_LINK1"/>
      <w:r>
        <w:rPr>
          <w:sz w:val="24"/>
        </w:rPr>
        <w:t>ISO 5840-1：2021《Cardiovascular implants — Cardiac valve prostheses — Part 1: General requirements》</w:t>
      </w:r>
      <w:bookmarkEnd w:id="6"/>
      <w:r>
        <w:rPr>
          <w:sz w:val="24"/>
        </w:rPr>
        <w:t xml:space="preserve">、ISO 5840-2：2021《Cardiovascular implants — Cardiac valve prostheses </w:t>
      </w:r>
      <w:r>
        <w:rPr>
          <w:rFonts w:hint="eastAsia"/>
          <w:sz w:val="24"/>
        </w:rPr>
        <w:t xml:space="preserve">— </w:t>
      </w:r>
      <w:r>
        <w:rPr>
          <w:sz w:val="24"/>
        </w:rPr>
        <w:t>Part 2: Surgically implanted heart valve substitutes》、ISO 5840-3：2021《Cardiovascular implants — Cardiac valve prostheses —Part 3:</w:t>
      </w:r>
      <w:r>
        <w:t xml:space="preserve"> </w:t>
      </w:r>
      <w:r>
        <w:rPr>
          <w:sz w:val="24"/>
        </w:rPr>
        <w:t>Heart valve substitutes implanted by transcatheter techniques》，</w:t>
      </w:r>
      <w:r>
        <w:rPr>
          <w:rFonts w:hint="eastAsia"/>
          <w:sz w:val="24"/>
        </w:rPr>
        <w:t>三</w:t>
      </w:r>
      <w:r>
        <w:rPr>
          <w:sz w:val="24"/>
        </w:rPr>
        <w:t>项标准为现行有效版本。</w:t>
      </w:r>
    </w:p>
    <w:p w14:paraId="7CC91E45">
      <w:pPr>
        <w:spacing w:before="156" w:beforeLines="50" w:after="156" w:afterLines="50"/>
        <w:outlineLvl w:val="0"/>
        <w:rPr>
          <w:rFonts w:ascii="黑体" w:hAnsi="宋体" w:eastAsia="黑体"/>
          <w:sz w:val="24"/>
        </w:rPr>
      </w:pPr>
      <w:r>
        <w:rPr>
          <w:rFonts w:hint="eastAsia" w:ascii="黑体" w:hAnsi="宋体" w:eastAsia="黑体"/>
          <w:sz w:val="24"/>
        </w:rPr>
        <w:t>五、与有关的现行法律、法规和强制性标准的关系</w:t>
      </w:r>
    </w:p>
    <w:p w14:paraId="4A9B2C09">
      <w:pPr>
        <w:spacing w:line="360" w:lineRule="auto"/>
        <w:ind w:firstLine="480" w:firstLineChars="200"/>
        <w:rPr>
          <w:rFonts w:ascii="宋体" w:hAnsi="宋体"/>
          <w:sz w:val="24"/>
        </w:rPr>
      </w:pPr>
      <w:r>
        <w:rPr>
          <w:rFonts w:ascii="宋体" w:hAnsi="宋体"/>
          <w:sz w:val="24"/>
        </w:rPr>
        <w:t>本标准</w:t>
      </w:r>
      <w:r>
        <w:rPr>
          <w:rFonts w:hint="eastAsia" w:ascii="宋体" w:hAnsi="宋体"/>
          <w:sz w:val="24"/>
        </w:rPr>
        <w:t>与有关的现行法律、法规和强制性标准</w:t>
      </w:r>
      <w:r>
        <w:rPr>
          <w:rFonts w:ascii="宋体" w:hAnsi="宋体"/>
          <w:sz w:val="24"/>
        </w:rPr>
        <w:t>不冲突也不矛盾。</w:t>
      </w:r>
    </w:p>
    <w:p w14:paraId="3DF52F8F">
      <w:pPr>
        <w:spacing w:before="156" w:beforeLines="50" w:after="156" w:afterLines="50"/>
        <w:outlineLvl w:val="0"/>
        <w:rPr>
          <w:rFonts w:ascii="黑体" w:hAnsi="宋体" w:eastAsia="黑体"/>
          <w:sz w:val="24"/>
        </w:rPr>
      </w:pPr>
      <w:r>
        <w:rPr>
          <w:rFonts w:hint="eastAsia" w:ascii="黑体" w:hAnsi="宋体" w:eastAsia="黑体"/>
          <w:sz w:val="24"/>
        </w:rPr>
        <w:t>六、重大分歧意见的处理经过和依据</w:t>
      </w:r>
    </w:p>
    <w:p w14:paraId="022E5612">
      <w:pPr>
        <w:spacing w:line="360" w:lineRule="auto"/>
        <w:ind w:firstLine="480" w:firstLineChars="200"/>
        <w:rPr>
          <w:rFonts w:ascii="宋体" w:hAnsi="宋体"/>
          <w:sz w:val="24"/>
        </w:rPr>
      </w:pPr>
      <w:r>
        <w:rPr>
          <w:rFonts w:hint="eastAsia" w:ascii="宋体" w:hAnsi="宋体"/>
          <w:sz w:val="24"/>
        </w:rPr>
        <w:t>无。</w:t>
      </w:r>
    </w:p>
    <w:p w14:paraId="46A8B134">
      <w:pPr>
        <w:spacing w:before="156" w:beforeLines="50" w:after="156" w:afterLines="50"/>
        <w:outlineLvl w:val="0"/>
        <w:rPr>
          <w:rFonts w:ascii="宋体" w:hAnsi="宋体"/>
          <w:sz w:val="24"/>
        </w:rPr>
      </w:pPr>
      <w:r>
        <w:rPr>
          <w:rFonts w:hint="eastAsia" w:ascii="黑体" w:hAnsi="宋体" w:eastAsia="黑体"/>
          <w:sz w:val="24"/>
        </w:rPr>
        <w:t>七、其他应予说明的事项</w:t>
      </w:r>
    </w:p>
    <w:p w14:paraId="50A2E85E">
      <w:pPr>
        <w:autoSpaceDE w:val="0"/>
        <w:autoSpaceDN w:val="0"/>
        <w:adjustRightInd w:val="0"/>
        <w:spacing w:line="360" w:lineRule="auto"/>
        <w:ind w:firstLine="420"/>
      </w:pPr>
      <w:r>
        <w:t>无</w:t>
      </w:r>
      <w:r>
        <w:rPr>
          <w:rFonts w:hint="eastAsia"/>
        </w:rPr>
        <w:t>。</w:t>
      </w:r>
    </w:p>
    <w:p w14:paraId="455401E4">
      <w:pPr>
        <w:autoSpaceDE w:val="0"/>
        <w:autoSpaceDN w:val="0"/>
        <w:adjustRightInd w:val="0"/>
        <w:spacing w:line="360" w:lineRule="auto"/>
        <w:rPr>
          <w:rFonts w:hint="eastAsia"/>
        </w:rPr>
      </w:pPr>
    </w:p>
    <w:p w14:paraId="0F08F4AE">
      <w:pPr>
        <w:spacing w:line="360" w:lineRule="auto"/>
        <w:ind w:right="-58"/>
        <w:jc w:val="right"/>
        <w:rPr>
          <w:rFonts w:ascii="宋体" w:hAnsi="宋体"/>
          <w:sz w:val="24"/>
        </w:rPr>
      </w:pPr>
      <w:bookmarkStart w:id="7" w:name="_GoBack"/>
      <w:r>
        <w:rPr>
          <w:rFonts w:hint="eastAsia" w:ascii="宋体" w:hAnsi="宋体"/>
          <w:sz w:val="24"/>
        </w:rPr>
        <w:t>《动物源性干态瓣叶材料的评价方法》</w:t>
      </w:r>
      <w:bookmarkEnd w:id="7"/>
      <w:r>
        <w:rPr>
          <w:rFonts w:hint="eastAsia" w:ascii="宋体" w:hAnsi="宋体"/>
          <w:sz w:val="24"/>
        </w:rPr>
        <w:t>团体标准起草工作组</w:t>
      </w:r>
    </w:p>
    <w:p w14:paraId="1ED12BAA">
      <w:pPr>
        <w:spacing w:line="360" w:lineRule="auto"/>
        <w:ind w:right="-58"/>
        <w:jc w:val="right"/>
        <w:rPr>
          <w:rFonts w:ascii="宋体" w:hAnsi="宋体"/>
          <w:sz w:val="24"/>
        </w:rPr>
      </w:pPr>
      <w:r>
        <w:rPr>
          <w:rFonts w:hint="eastAsia" w:ascii="宋体" w:hAnsi="宋体"/>
          <w:sz w:val="24"/>
        </w:rPr>
        <w:t>202</w:t>
      </w:r>
      <w:r>
        <w:rPr>
          <w:rFonts w:ascii="宋体" w:hAnsi="宋体"/>
          <w:sz w:val="24"/>
        </w:rPr>
        <w:t>4</w:t>
      </w:r>
      <w:r>
        <w:rPr>
          <w:rFonts w:hint="eastAsia" w:ascii="宋体" w:hAnsi="宋体"/>
          <w:sz w:val="24"/>
        </w:rPr>
        <w:t>年</w:t>
      </w:r>
      <w:r>
        <w:rPr>
          <w:rFonts w:ascii="宋体" w:hAnsi="宋体"/>
          <w:sz w:val="24"/>
        </w:rPr>
        <w:t>9</w:t>
      </w:r>
      <w:r>
        <w:rPr>
          <w:rFonts w:hint="eastAsia" w:ascii="宋体" w:hAnsi="宋体"/>
          <w:sz w:val="24"/>
        </w:rPr>
        <w:t>月</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6CEA2025"/>
    <w:multiLevelType w:val="multilevel"/>
    <w:tmpl w:val="6CEA2025"/>
    <w:lvl w:ilvl="0" w:tentative="0">
      <w:start w:val="1"/>
      <w:numFmt w:val="none"/>
      <w:pStyle w:val="13"/>
      <w:suff w:val="nothing"/>
      <w:lvlText w:val="%1"/>
      <w:lvlJc w:val="left"/>
      <w:pPr>
        <w:ind w:left="0" w:firstLine="0"/>
      </w:pPr>
      <w:rPr>
        <w:rFonts w:hint="default" w:ascii="Times New Roman" w:hAnsi="Times New Roman"/>
        <w:b/>
        <w:i w:val="0"/>
        <w:sz w:val="21"/>
      </w:rPr>
    </w:lvl>
    <w:lvl w:ilvl="1" w:tentative="0">
      <w:start w:val="1"/>
      <w:numFmt w:val="decimal"/>
      <w:pStyle w:val="14"/>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1440" w:firstLine="0"/>
      </w:pPr>
      <w:rPr>
        <w:rFonts w:hint="eastAsia" w:ascii="黑体" w:hAnsi="Times New Roman" w:eastAsia="黑体"/>
        <w:b w:val="0"/>
        <w:i w:val="0"/>
        <w:sz w:val="21"/>
      </w:rPr>
    </w:lvl>
    <w:lvl w:ilvl="3" w:tentative="0">
      <w:start w:val="1"/>
      <w:numFmt w:val="decimal"/>
      <w:pStyle w:val="16"/>
      <w:suff w:val="nothing"/>
      <w:lvlText w:val="%1%2.%3.%4　"/>
      <w:lvlJc w:val="left"/>
      <w:pPr>
        <w:ind w:left="72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pStyle w:val="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CE"/>
    <w:rsid w:val="000104DB"/>
    <w:rsid w:val="00026654"/>
    <w:rsid w:val="000273DF"/>
    <w:rsid w:val="00035C3C"/>
    <w:rsid w:val="00045D98"/>
    <w:rsid w:val="000545A8"/>
    <w:rsid w:val="00055B69"/>
    <w:rsid w:val="00055DD9"/>
    <w:rsid w:val="0007195B"/>
    <w:rsid w:val="0008736E"/>
    <w:rsid w:val="000913A1"/>
    <w:rsid w:val="00095B93"/>
    <w:rsid w:val="000A1977"/>
    <w:rsid w:val="000B1620"/>
    <w:rsid w:val="000B56BF"/>
    <w:rsid w:val="000D5C87"/>
    <w:rsid w:val="000E5D27"/>
    <w:rsid w:val="000F00EA"/>
    <w:rsid w:val="000F6716"/>
    <w:rsid w:val="00100262"/>
    <w:rsid w:val="00101AA3"/>
    <w:rsid w:val="00113855"/>
    <w:rsid w:val="00116BE1"/>
    <w:rsid w:val="001335E4"/>
    <w:rsid w:val="00143BAA"/>
    <w:rsid w:val="0015134C"/>
    <w:rsid w:val="00151888"/>
    <w:rsid w:val="00155311"/>
    <w:rsid w:val="00156BAF"/>
    <w:rsid w:val="0015706F"/>
    <w:rsid w:val="00176716"/>
    <w:rsid w:val="00181DF3"/>
    <w:rsid w:val="00185911"/>
    <w:rsid w:val="00193534"/>
    <w:rsid w:val="00196CC8"/>
    <w:rsid w:val="001A4E5F"/>
    <w:rsid w:val="001A6770"/>
    <w:rsid w:val="001B008A"/>
    <w:rsid w:val="001C758F"/>
    <w:rsid w:val="001E1756"/>
    <w:rsid w:val="001E6FBA"/>
    <w:rsid w:val="001F46E8"/>
    <w:rsid w:val="00202B94"/>
    <w:rsid w:val="00217489"/>
    <w:rsid w:val="00220D69"/>
    <w:rsid w:val="00221CF5"/>
    <w:rsid w:val="00227415"/>
    <w:rsid w:val="00227EE2"/>
    <w:rsid w:val="00230915"/>
    <w:rsid w:val="00232544"/>
    <w:rsid w:val="0024051D"/>
    <w:rsid w:val="002415FD"/>
    <w:rsid w:val="00241A0C"/>
    <w:rsid w:val="002427BA"/>
    <w:rsid w:val="00243FCA"/>
    <w:rsid w:val="002578AD"/>
    <w:rsid w:val="00263188"/>
    <w:rsid w:val="002656B8"/>
    <w:rsid w:val="00270631"/>
    <w:rsid w:val="00280402"/>
    <w:rsid w:val="0028108C"/>
    <w:rsid w:val="0028757B"/>
    <w:rsid w:val="00290E66"/>
    <w:rsid w:val="00291486"/>
    <w:rsid w:val="002A38D4"/>
    <w:rsid w:val="002B16D4"/>
    <w:rsid w:val="002B1991"/>
    <w:rsid w:val="002B3FDD"/>
    <w:rsid w:val="002D11D1"/>
    <w:rsid w:val="002E0723"/>
    <w:rsid w:val="002E07A1"/>
    <w:rsid w:val="002E6B07"/>
    <w:rsid w:val="002E75F8"/>
    <w:rsid w:val="002F3FBE"/>
    <w:rsid w:val="0030089A"/>
    <w:rsid w:val="00303A34"/>
    <w:rsid w:val="003113FD"/>
    <w:rsid w:val="00312075"/>
    <w:rsid w:val="0031280F"/>
    <w:rsid w:val="00316E51"/>
    <w:rsid w:val="003222B5"/>
    <w:rsid w:val="003330BA"/>
    <w:rsid w:val="00337DFD"/>
    <w:rsid w:val="0034376D"/>
    <w:rsid w:val="00343D8D"/>
    <w:rsid w:val="0034497F"/>
    <w:rsid w:val="0036576B"/>
    <w:rsid w:val="00374C9D"/>
    <w:rsid w:val="00383200"/>
    <w:rsid w:val="0038378E"/>
    <w:rsid w:val="00385FE2"/>
    <w:rsid w:val="003862A2"/>
    <w:rsid w:val="00393387"/>
    <w:rsid w:val="00396A29"/>
    <w:rsid w:val="003B64ED"/>
    <w:rsid w:val="003C33C0"/>
    <w:rsid w:val="003C4411"/>
    <w:rsid w:val="003C5258"/>
    <w:rsid w:val="003C70A8"/>
    <w:rsid w:val="003C7D14"/>
    <w:rsid w:val="003E3D7F"/>
    <w:rsid w:val="003E40D9"/>
    <w:rsid w:val="003F1D69"/>
    <w:rsid w:val="0041424F"/>
    <w:rsid w:val="0041595C"/>
    <w:rsid w:val="00422318"/>
    <w:rsid w:val="00424568"/>
    <w:rsid w:val="00425170"/>
    <w:rsid w:val="00427A3F"/>
    <w:rsid w:val="00432E09"/>
    <w:rsid w:val="00434C05"/>
    <w:rsid w:val="00455F12"/>
    <w:rsid w:val="00456E23"/>
    <w:rsid w:val="0046016F"/>
    <w:rsid w:val="0046169C"/>
    <w:rsid w:val="004A3C13"/>
    <w:rsid w:val="004B4CD9"/>
    <w:rsid w:val="004B59D1"/>
    <w:rsid w:val="004C390D"/>
    <w:rsid w:val="004C69BB"/>
    <w:rsid w:val="004D25D6"/>
    <w:rsid w:val="004E0E32"/>
    <w:rsid w:val="004F128D"/>
    <w:rsid w:val="004F1D35"/>
    <w:rsid w:val="005010F6"/>
    <w:rsid w:val="005050AA"/>
    <w:rsid w:val="00510B50"/>
    <w:rsid w:val="00514ECE"/>
    <w:rsid w:val="00517CB7"/>
    <w:rsid w:val="005227BE"/>
    <w:rsid w:val="005314CD"/>
    <w:rsid w:val="005338BB"/>
    <w:rsid w:val="00543943"/>
    <w:rsid w:val="00543A0D"/>
    <w:rsid w:val="00547854"/>
    <w:rsid w:val="00550D3F"/>
    <w:rsid w:val="00552313"/>
    <w:rsid w:val="00554FAB"/>
    <w:rsid w:val="00556226"/>
    <w:rsid w:val="00557B7E"/>
    <w:rsid w:val="005639F6"/>
    <w:rsid w:val="00564C66"/>
    <w:rsid w:val="0056547E"/>
    <w:rsid w:val="0057196C"/>
    <w:rsid w:val="005742E2"/>
    <w:rsid w:val="00587959"/>
    <w:rsid w:val="00590F31"/>
    <w:rsid w:val="005A0248"/>
    <w:rsid w:val="005A2D1D"/>
    <w:rsid w:val="005A5472"/>
    <w:rsid w:val="005A7287"/>
    <w:rsid w:val="005B1D3D"/>
    <w:rsid w:val="005B6E36"/>
    <w:rsid w:val="005B7730"/>
    <w:rsid w:val="005C3648"/>
    <w:rsid w:val="005D1113"/>
    <w:rsid w:val="005D5730"/>
    <w:rsid w:val="005E44E9"/>
    <w:rsid w:val="005E4A6D"/>
    <w:rsid w:val="00605825"/>
    <w:rsid w:val="006060A1"/>
    <w:rsid w:val="00611554"/>
    <w:rsid w:val="006354EE"/>
    <w:rsid w:val="00642D93"/>
    <w:rsid w:val="00643091"/>
    <w:rsid w:val="0065283C"/>
    <w:rsid w:val="00661866"/>
    <w:rsid w:val="00673166"/>
    <w:rsid w:val="00673D40"/>
    <w:rsid w:val="00682E62"/>
    <w:rsid w:val="00687D76"/>
    <w:rsid w:val="00696988"/>
    <w:rsid w:val="006C17DC"/>
    <w:rsid w:val="006C30E8"/>
    <w:rsid w:val="006C520E"/>
    <w:rsid w:val="006C6DDC"/>
    <w:rsid w:val="006E2091"/>
    <w:rsid w:val="006E6E37"/>
    <w:rsid w:val="006E7900"/>
    <w:rsid w:val="006F0514"/>
    <w:rsid w:val="006F11A9"/>
    <w:rsid w:val="006F29A0"/>
    <w:rsid w:val="006F5CF3"/>
    <w:rsid w:val="00701A8A"/>
    <w:rsid w:val="00713611"/>
    <w:rsid w:val="00726C39"/>
    <w:rsid w:val="00730A24"/>
    <w:rsid w:val="00733D50"/>
    <w:rsid w:val="0073626A"/>
    <w:rsid w:val="00740AEF"/>
    <w:rsid w:val="00745D86"/>
    <w:rsid w:val="007521B2"/>
    <w:rsid w:val="00760C0A"/>
    <w:rsid w:val="0076251C"/>
    <w:rsid w:val="00776FAC"/>
    <w:rsid w:val="0078777F"/>
    <w:rsid w:val="00792122"/>
    <w:rsid w:val="00793CDB"/>
    <w:rsid w:val="00796B7B"/>
    <w:rsid w:val="007B6700"/>
    <w:rsid w:val="007C1BA9"/>
    <w:rsid w:val="007C55BB"/>
    <w:rsid w:val="007C6440"/>
    <w:rsid w:val="007E09BB"/>
    <w:rsid w:val="007E1128"/>
    <w:rsid w:val="007F2ED0"/>
    <w:rsid w:val="007F4F70"/>
    <w:rsid w:val="00801F87"/>
    <w:rsid w:val="00806C8B"/>
    <w:rsid w:val="00807C96"/>
    <w:rsid w:val="0082596F"/>
    <w:rsid w:val="0084526F"/>
    <w:rsid w:val="00846602"/>
    <w:rsid w:val="008A22AB"/>
    <w:rsid w:val="008A6195"/>
    <w:rsid w:val="008A6960"/>
    <w:rsid w:val="008B2825"/>
    <w:rsid w:val="008B3AF6"/>
    <w:rsid w:val="008D17FE"/>
    <w:rsid w:val="008D2B27"/>
    <w:rsid w:val="008D5603"/>
    <w:rsid w:val="008E2385"/>
    <w:rsid w:val="008E7CAD"/>
    <w:rsid w:val="008F5CED"/>
    <w:rsid w:val="00900767"/>
    <w:rsid w:val="009043E3"/>
    <w:rsid w:val="009054EB"/>
    <w:rsid w:val="00906E8B"/>
    <w:rsid w:val="00927F89"/>
    <w:rsid w:val="00930A94"/>
    <w:rsid w:val="00937A54"/>
    <w:rsid w:val="00941342"/>
    <w:rsid w:val="00945F69"/>
    <w:rsid w:val="0094789F"/>
    <w:rsid w:val="0095022C"/>
    <w:rsid w:val="00960AE9"/>
    <w:rsid w:val="00987C97"/>
    <w:rsid w:val="009A1FB9"/>
    <w:rsid w:val="009A3BEB"/>
    <w:rsid w:val="009A70BB"/>
    <w:rsid w:val="009B600F"/>
    <w:rsid w:val="009C4983"/>
    <w:rsid w:val="009C6512"/>
    <w:rsid w:val="009E2369"/>
    <w:rsid w:val="009E3CBF"/>
    <w:rsid w:val="009E5227"/>
    <w:rsid w:val="009E6347"/>
    <w:rsid w:val="009F35E4"/>
    <w:rsid w:val="009F5FB2"/>
    <w:rsid w:val="00A05053"/>
    <w:rsid w:val="00A25518"/>
    <w:rsid w:val="00A27A3B"/>
    <w:rsid w:val="00A3687C"/>
    <w:rsid w:val="00A40D8F"/>
    <w:rsid w:val="00A42138"/>
    <w:rsid w:val="00A47DAF"/>
    <w:rsid w:val="00A52256"/>
    <w:rsid w:val="00A54F5F"/>
    <w:rsid w:val="00A55936"/>
    <w:rsid w:val="00A55CCC"/>
    <w:rsid w:val="00A60492"/>
    <w:rsid w:val="00A6257C"/>
    <w:rsid w:val="00A6556F"/>
    <w:rsid w:val="00A65FD4"/>
    <w:rsid w:val="00A6640C"/>
    <w:rsid w:val="00A71D03"/>
    <w:rsid w:val="00A75FDF"/>
    <w:rsid w:val="00A914B0"/>
    <w:rsid w:val="00AA6B29"/>
    <w:rsid w:val="00AB0FB7"/>
    <w:rsid w:val="00AB5369"/>
    <w:rsid w:val="00AC1186"/>
    <w:rsid w:val="00AC19A1"/>
    <w:rsid w:val="00AC2555"/>
    <w:rsid w:val="00AD3988"/>
    <w:rsid w:val="00AD52EC"/>
    <w:rsid w:val="00AF2E38"/>
    <w:rsid w:val="00AF69FF"/>
    <w:rsid w:val="00B12B04"/>
    <w:rsid w:val="00B1339F"/>
    <w:rsid w:val="00B2252C"/>
    <w:rsid w:val="00B27471"/>
    <w:rsid w:val="00B32797"/>
    <w:rsid w:val="00B32C25"/>
    <w:rsid w:val="00B3347B"/>
    <w:rsid w:val="00B41BD4"/>
    <w:rsid w:val="00B46D00"/>
    <w:rsid w:val="00B47614"/>
    <w:rsid w:val="00B51A13"/>
    <w:rsid w:val="00B5530A"/>
    <w:rsid w:val="00B6573E"/>
    <w:rsid w:val="00B760A6"/>
    <w:rsid w:val="00B9051E"/>
    <w:rsid w:val="00B92B84"/>
    <w:rsid w:val="00B94948"/>
    <w:rsid w:val="00B94D59"/>
    <w:rsid w:val="00BA06E6"/>
    <w:rsid w:val="00BB13B5"/>
    <w:rsid w:val="00BB3A41"/>
    <w:rsid w:val="00BB4904"/>
    <w:rsid w:val="00BB64AA"/>
    <w:rsid w:val="00BC333D"/>
    <w:rsid w:val="00BC58E1"/>
    <w:rsid w:val="00BC5F43"/>
    <w:rsid w:val="00BD03CD"/>
    <w:rsid w:val="00BD1557"/>
    <w:rsid w:val="00BD4111"/>
    <w:rsid w:val="00BE02E1"/>
    <w:rsid w:val="00BE0622"/>
    <w:rsid w:val="00BE15D4"/>
    <w:rsid w:val="00BE1CD0"/>
    <w:rsid w:val="00BE6FC4"/>
    <w:rsid w:val="00C05F37"/>
    <w:rsid w:val="00C14E22"/>
    <w:rsid w:val="00C16263"/>
    <w:rsid w:val="00C22715"/>
    <w:rsid w:val="00C22B2B"/>
    <w:rsid w:val="00C26341"/>
    <w:rsid w:val="00C355C1"/>
    <w:rsid w:val="00C37FD7"/>
    <w:rsid w:val="00C43716"/>
    <w:rsid w:val="00C446F9"/>
    <w:rsid w:val="00C530C6"/>
    <w:rsid w:val="00C5731B"/>
    <w:rsid w:val="00C636C5"/>
    <w:rsid w:val="00C74085"/>
    <w:rsid w:val="00C75F65"/>
    <w:rsid w:val="00C94B19"/>
    <w:rsid w:val="00C96EE7"/>
    <w:rsid w:val="00CC4CA7"/>
    <w:rsid w:val="00CC68FF"/>
    <w:rsid w:val="00CD16BF"/>
    <w:rsid w:val="00CD1E75"/>
    <w:rsid w:val="00CD6B48"/>
    <w:rsid w:val="00CE2284"/>
    <w:rsid w:val="00CE7D6F"/>
    <w:rsid w:val="00D215C0"/>
    <w:rsid w:val="00D236C0"/>
    <w:rsid w:val="00D23AE9"/>
    <w:rsid w:val="00D375E2"/>
    <w:rsid w:val="00D42E78"/>
    <w:rsid w:val="00D43135"/>
    <w:rsid w:val="00D47D53"/>
    <w:rsid w:val="00D52174"/>
    <w:rsid w:val="00D57B15"/>
    <w:rsid w:val="00D60550"/>
    <w:rsid w:val="00D66C8B"/>
    <w:rsid w:val="00D81F27"/>
    <w:rsid w:val="00D85CD4"/>
    <w:rsid w:val="00D87E03"/>
    <w:rsid w:val="00D91191"/>
    <w:rsid w:val="00DA03C0"/>
    <w:rsid w:val="00DA0C0F"/>
    <w:rsid w:val="00DA3385"/>
    <w:rsid w:val="00DA57F3"/>
    <w:rsid w:val="00DA7C58"/>
    <w:rsid w:val="00DB1A21"/>
    <w:rsid w:val="00DB4E0C"/>
    <w:rsid w:val="00DC2C86"/>
    <w:rsid w:val="00DD31B2"/>
    <w:rsid w:val="00DD646C"/>
    <w:rsid w:val="00DD7961"/>
    <w:rsid w:val="00DE0102"/>
    <w:rsid w:val="00DE1C4E"/>
    <w:rsid w:val="00DF3BD0"/>
    <w:rsid w:val="00E04A1D"/>
    <w:rsid w:val="00E0547F"/>
    <w:rsid w:val="00E171F3"/>
    <w:rsid w:val="00E17687"/>
    <w:rsid w:val="00E17940"/>
    <w:rsid w:val="00E2281F"/>
    <w:rsid w:val="00E23BC6"/>
    <w:rsid w:val="00E271D8"/>
    <w:rsid w:val="00E317E7"/>
    <w:rsid w:val="00E50AC3"/>
    <w:rsid w:val="00E57C9A"/>
    <w:rsid w:val="00E667E0"/>
    <w:rsid w:val="00E70531"/>
    <w:rsid w:val="00E80EE2"/>
    <w:rsid w:val="00E84381"/>
    <w:rsid w:val="00E84EE5"/>
    <w:rsid w:val="00E91B03"/>
    <w:rsid w:val="00E95A19"/>
    <w:rsid w:val="00E97B5A"/>
    <w:rsid w:val="00EA4C6F"/>
    <w:rsid w:val="00EA4F14"/>
    <w:rsid w:val="00EA50DF"/>
    <w:rsid w:val="00EB504B"/>
    <w:rsid w:val="00EB747E"/>
    <w:rsid w:val="00EC0D6D"/>
    <w:rsid w:val="00EC2058"/>
    <w:rsid w:val="00EC502C"/>
    <w:rsid w:val="00EC7B7D"/>
    <w:rsid w:val="00ED0E95"/>
    <w:rsid w:val="00ED2258"/>
    <w:rsid w:val="00ED5589"/>
    <w:rsid w:val="00EE435E"/>
    <w:rsid w:val="00EE7801"/>
    <w:rsid w:val="00EF2A29"/>
    <w:rsid w:val="00EF6747"/>
    <w:rsid w:val="00F06F61"/>
    <w:rsid w:val="00F1380D"/>
    <w:rsid w:val="00F15002"/>
    <w:rsid w:val="00F176D8"/>
    <w:rsid w:val="00F20809"/>
    <w:rsid w:val="00F21255"/>
    <w:rsid w:val="00F21997"/>
    <w:rsid w:val="00F27F05"/>
    <w:rsid w:val="00F3075A"/>
    <w:rsid w:val="00F35B53"/>
    <w:rsid w:val="00F41701"/>
    <w:rsid w:val="00F557C8"/>
    <w:rsid w:val="00F71E5A"/>
    <w:rsid w:val="00F83BB5"/>
    <w:rsid w:val="00F83BD9"/>
    <w:rsid w:val="00F83CD2"/>
    <w:rsid w:val="00F90E8C"/>
    <w:rsid w:val="00F92F05"/>
    <w:rsid w:val="00F93E8E"/>
    <w:rsid w:val="00FA05B0"/>
    <w:rsid w:val="00FA2CB5"/>
    <w:rsid w:val="00FA7137"/>
    <w:rsid w:val="00FB58F7"/>
    <w:rsid w:val="00FC65CE"/>
    <w:rsid w:val="00FD0918"/>
    <w:rsid w:val="00FD28C3"/>
    <w:rsid w:val="00FD64C3"/>
    <w:rsid w:val="00FD7001"/>
    <w:rsid w:val="00FE4C61"/>
    <w:rsid w:val="00FE742E"/>
    <w:rsid w:val="00FF09EC"/>
    <w:rsid w:val="00FF1CF2"/>
    <w:rsid w:val="00FF45F6"/>
    <w:rsid w:val="00FF5CA7"/>
    <w:rsid w:val="2CE3217F"/>
    <w:rsid w:val="6B4B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23"/>
    <w:uiPriority w:val="0"/>
    <w:rPr>
      <w:rFonts w:ascii="宋体"/>
      <w:sz w:val="18"/>
      <w:szCs w:val="18"/>
    </w:rPr>
  </w:style>
  <w:style w:type="paragraph" w:styleId="3">
    <w:name w:val="annotation text"/>
    <w:basedOn w:val="1"/>
    <w:link w:val="27"/>
    <w:uiPriority w:val="99"/>
    <w:pPr>
      <w:jc w:val="left"/>
    </w:pPr>
  </w:style>
  <w:style w:type="paragraph" w:styleId="4">
    <w:name w:val="Balloon Text"/>
    <w:basedOn w:val="1"/>
    <w:semiHidden/>
    <w:qFormat/>
    <w:uiPriority w:val="0"/>
    <w:rPr>
      <w:sz w:val="18"/>
      <w:szCs w:val="18"/>
    </w:r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8"/>
    <w:qFormat/>
    <w:uiPriority w:val="0"/>
    <w:pPr>
      <w:numPr>
        <w:ilvl w:val="0"/>
        <w:numId w:val="2"/>
      </w:numPr>
      <w:snapToGrid w:val="0"/>
      <w:jc w:val="left"/>
    </w:pPr>
    <w:rPr>
      <w:rFonts w:ascii="宋体"/>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9"/>
    <w:qFormat/>
    <w:uiPriority w:val="0"/>
    <w:rPr>
      <w:b/>
      <w:bCs/>
    </w:rPr>
  </w:style>
  <w:style w:type="character" w:styleId="12">
    <w:name w:val="annotation reference"/>
    <w:qFormat/>
    <w:uiPriority w:val="99"/>
    <w:rPr>
      <w:sz w:val="21"/>
      <w:szCs w:val="21"/>
    </w:rPr>
  </w:style>
  <w:style w:type="paragraph" w:customStyle="1" w:styleId="1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5">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6">
    <w:name w:val="二级条标题"/>
    <w:basedOn w:val="15"/>
    <w:next w:val="1"/>
    <w:link w:val="17"/>
    <w:qFormat/>
    <w:uiPriority w:val="0"/>
    <w:pPr>
      <w:numPr>
        <w:ilvl w:val="3"/>
      </w:numPr>
      <w:outlineLvl w:val="3"/>
    </w:pPr>
  </w:style>
  <w:style w:type="character" w:customStyle="1" w:styleId="17">
    <w:name w:val="二级条标题 Char"/>
    <w:link w:val="16"/>
    <w:qFormat/>
    <w:uiPriority w:val="0"/>
    <w:rPr>
      <w:rFonts w:eastAsia="黑体"/>
      <w:sz w:val="21"/>
      <w:lang w:val="en-US" w:eastAsia="zh-CN" w:bidi="ar-SA"/>
    </w:rPr>
  </w:style>
  <w:style w:type="paragraph" w:customStyle="1" w:styleId="18">
    <w:name w:val="实施日期"/>
    <w:basedOn w:val="1"/>
    <w:qFormat/>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19">
    <w:name w:val="图表脚注"/>
    <w:next w:val="1"/>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20">
    <w:name w:val="目次、标准名称标题"/>
    <w:basedOn w:val="13"/>
    <w:next w:val="1"/>
    <w:qFormat/>
    <w:uiPriority w:val="0"/>
    <w:pPr>
      <w:numPr>
        <w:numId w:val="0"/>
      </w:numPr>
      <w:spacing w:line="460" w:lineRule="exact"/>
    </w:pPr>
  </w:style>
  <w:style w:type="paragraph" w:customStyle="1" w:styleId="2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段"/>
    <w:link w:val="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文档结构图 字符"/>
    <w:link w:val="2"/>
    <w:qFormat/>
    <w:uiPriority w:val="0"/>
    <w:rPr>
      <w:rFonts w:ascii="宋体"/>
      <w:kern w:val="2"/>
      <w:sz w:val="18"/>
      <w:szCs w:val="18"/>
    </w:rPr>
  </w:style>
  <w:style w:type="character" w:customStyle="1" w:styleId="24">
    <w:name w:val="页脚 字符"/>
    <w:link w:val="5"/>
    <w:qFormat/>
    <w:uiPriority w:val="0"/>
    <w:rPr>
      <w:kern w:val="2"/>
      <w:sz w:val="18"/>
      <w:szCs w:val="18"/>
    </w:rPr>
  </w:style>
  <w:style w:type="character" w:customStyle="1" w:styleId="25">
    <w:name w:val="段 Char"/>
    <w:link w:val="22"/>
    <w:qFormat/>
    <w:uiPriority w:val="0"/>
    <w:rPr>
      <w:rFonts w:ascii="宋体"/>
      <w:sz w:val="21"/>
      <w:lang w:val="en-US" w:eastAsia="zh-CN" w:bidi="ar-SA"/>
    </w:rPr>
  </w:style>
  <w:style w:type="character" w:customStyle="1" w:styleId="26">
    <w:name w:val="fontstyle01"/>
    <w:basedOn w:val="11"/>
    <w:qFormat/>
    <w:uiPriority w:val="0"/>
    <w:rPr>
      <w:rFonts w:hint="eastAsia" w:ascii="宋体" w:hAnsi="宋体" w:eastAsia="宋体"/>
      <w:color w:val="000000"/>
      <w:sz w:val="22"/>
      <w:szCs w:val="22"/>
    </w:rPr>
  </w:style>
  <w:style w:type="character" w:customStyle="1" w:styleId="27">
    <w:name w:val="批注文字 字符"/>
    <w:basedOn w:val="11"/>
    <w:link w:val="3"/>
    <w:qFormat/>
    <w:uiPriority w:val="99"/>
    <w:rPr>
      <w:kern w:val="2"/>
      <w:sz w:val="21"/>
      <w:szCs w:val="24"/>
    </w:rPr>
  </w:style>
  <w:style w:type="character" w:customStyle="1" w:styleId="28">
    <w:name w:val="脚注文本 字符"/>
    <w:basedOn w:val="11"/>
    <w:link w:val="7"/>
    <w:qFormat/>
    <w:uiPriority w:val="0"/>
    <w:rPr>
      <w:rFonts w:ascii="宋体"/>
      <w:kern w:val="2"/>
      <w:sz w:val="18"/>
      <w:szCs w:val="18"/>
    </w:rPr>
  </w:style>
  <w:style w:type="character" w:customStyle="1" w:styleId="29">
    <w:name w:val="批注主题 字符"/>
    <w:basedOn w:val="27"/>
    <w:link w:val="9"/>
    <w:qFormat/>
    <w:uiPriority w:val="0"/>
    <w:rPr>
      <w:b/>
      <w:bCs/>
      <w:kern w:val="2"/>
      <w:sz w:val="21"/>
      <w:szCs w:val="24"/>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TJ20</Company>
  <Pages>3</Pages>
  <Words>1898</Words>
  <Characters>2275</Characters>
  <Lines>16</Lines>
  <Paragraphs>4</Paragraphs>
  <TotalTime>289</TotalTime>
  <ScaleCrop>false</ScaleCrop>
  <LinksUpToDate>false</LinksUpToDate>
  <CharactersWithSpaces>2332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2024-09-20T03:12:00Z</dcterms:created>
  <dc:creator>young</dc:creator>
  <cp:lastModifiedBy>Julian</cp:lastModifiedBy>
  <cp:lastPrinted>2010-10-18T09:01:00Z</cp:lastPrinted>
  <dcterms:modified xsi:type="dcterms:W3CDTF">2025-02-28T02:08:26Z</dcterms:modified>
  <dc:title>《关节置换植入物 髋关节假体》</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eyJoZGlkIjoiZmM2NjlmMjNiODUzODBkMzc2YmU5NmY3ZDYxZjNhMzMiLCJ1c2VySWQiOiIzMDk3NTI4ODEifQ==</vt:lpwstr>
  </property>
  <property fmtid="{D5CDD505-2E9C-101B-9397-08002B2CF9AE}" pid="3" name="KSOProductBuildVer">
    <vt:lpwstr>2052-12.1.0.20305</vt:lpwstr>
  </property>
  <property fmtid="{D5CDD505-2E9C-101B-9397-08002B2CF9AE}" pid="4" name="ICV">
    <vt:lpwstr>1FC3B1B9381945779A18E0461D739A29_13</vt:lpwstr>
  </property>
</Properties>
</file>