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framePr w:w="0" w:hRule="auto" w:wrap="auto" w:vAnchor="margin" w:hAnchor="text" w:xAlign="left" w:yAlign="inline"/>
        <w:spacing w:before="156" w:after="156" w:line="240" w:lineRule="auto"/>
        <w:rPr>
          <w:rFonts w:ascii="Times New Roman" w:hAnsi="Times New Roman" w:eastAsia="宋体" w:cs="Times New Roman"/>
          <w:sz w:val="44"/>
          <w:szCs w:val="44"/>
        </w:rPr>
      </w:pPr>
      <w:r>
        <w:rPr>
          <w:rFonts w:ascii="Times New Roman" w:hAnsi="Times New Roman" w:eastAsia="宋体" w:cs="Times New Roman"/>
          <w:sz w:val="44"/>
          <w:szCs w:val="44"/>
        </w:rPr>
        <w:t>《</w:t>
      </w:r>
      <w:r>
        <w:rPr>
          <w:rFonts w:hint="eastAsia" w:ascii="宋体" w:hAnsi="宋体" w:eastAsia="宋体"/>
          <w:b/>
          <w:sz w:val="44"/>
          <w:szCs w:val="44"/>
        </w:rPr>
        <w:t>创面修复材料有效性评价 第1部分：可溶性材料体外</w:t>
      </w:r>
      <w:r>
        <w:rPr>
          <w:rFonts w:hint="eastAsia" w:ascii="宋体" w:hAnsi="宋体" w:eastAsia="宋体"/>
          <w:b/>
          <w:sz w:val="44"/>
          <w:szCs w:val="44"/>
          <w:lang w:eastAsia="zh-Hans"/>
        </w:rPr>
        <w:t>评价</w:t>
      </w:r>
      <w:r>
        <w:rPr>
          <w:rFonts w:hint="eastAsia" w:ascii="宋体" w:hAnsi="宋体" w:eastAsia="宋体"/>
          <w:b/>
          <w:sz w:val="44"/>
          <w:szCs w:val="44"/>
          <w:lang w:val="en-US" w:eastAsia="zh-Hans"/>
        </w:rPr>
        <w:t>方</w:t>
      </w:r>
      <w:r>
        <w:rPr>
          <w:rFonts w:hint="eastAsia" w:ascii="宋体" w:hAnsi="宋体" w:eastAsia="宋体"/>
          <w:b/>
          <w:sz w:val="44"/>
          <w:szCs w:val="44"/>
          <w:lang w:eastAsia="zh-Hans"/>
        </w:rPr>
        <w:t>法</w:t>
      </w:r>
      <w:r>
        <w:rPr>
          <w:rFonts w:ascii="Times New Roman" w:hAnsi="Times New Roman" w:eastAsia="宋体" w:cs="Times New Roman"/>
          <w:sz w:val="44"/>
          <w:szCs w:val="44"/>
        </w:rPr>
        <w:t>》</w:t>
      </w:r>
    </w:p>
    <w:p>
      <w:pPr>
        <w:snapToGrid w:val="0"/>
        <w:spacing w:line="360" w:lineRule="auto"/>
        <w:jc w:val="center"/>
        <w:rPr>
          <w:rFonts w:ascii="Times New Roman" w:hAnsi="Times New Roman" w:eastAsia="宋体" w:cs="Times New Roman"/>
          <w:sz w:val="36"/>
          <w:szCs w:val="36"/>
        </w:rPr>
      </w:pPr>
      <w:r>
        <w:rPr>
          <w:rFonts w:ascii="Times New Roman" w:hAnsi="Times New Roman" w:eastAsia="宋体" w:cs="Times New Roman"/>
          <w:sz w:val="36"/>
          <w:szCs w:val="36"/>
        </w:rPr>
        <w:t>团体标准编制说明</w:t>
      </w:r>
    </w:p>
    <w:p>
      <w:pPr>
        <w:snapToGrid w:val="0"/>
        <w:spacing w:line="360" w:lineRule="auto"/>
        <w:rPr>
          <w:rFonts w:ascii="Times New Roman" w:hAnsi="Times New Roman" w:eastAsia="宋体" w:cs="Times New Roman"/>
          <w:b/>
          <w:bCs/>
          <w:sz w:val="24"/>
          <w:szCs w:val="24"/>
        </w:rPr>
      </w:pPr>
      <w:bookmarkStart w:id="0" w:name="_Hlk106702434"/>
      <w:r>
        <w:rPr>
          <w:rFonts w:ascii="Times New Roman" w:hAnsi="Times New Roman" w:eastAsia="宋体" w:cs="Times New Roman"/>
          <w:b/>
          <w:bCs/>
          <w:sz w:val="24"/>
          <w:szCs w:val="24"/>
        </w:rPr>
        <w:t>1 工作简况</w:t>
      </w:r>
    </w:p>
    <w:p>
      <w:pPr>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1.1 任务来源</w:t>
      </w:r>
    </w:p>
    <w:p>
      <w:pPr>
        <w:snapToGrid w:val="0"/>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创面修复材料有效性评价 第1部分：</w:t>
      </w:r>
      <w:r>
        <w:rPr>
          <w:rFonts w:hint="eastAsia" w:ascii="宋体" w:hAnsi="宋体" w:eastAsia="宋体" w:cs="宋体"/>
          <w:b w:val="0"/>
          <w:bCs w:val="0"/>
          <w:sz w:val="24"/>
          <w:szCs w:val="24"/>
          <w:lang w:eastAsia="zh-CN"/>
        </w:rPr>
        <w:t>可溶性材料体外评价方法</w:t>
      </w:r>
      <w:r>
        <w:rPr>
          <w:rFonts w:hint="eastAsia" w:ascii="宋体" w:hAnsi="宋体" w:eastAsia="宋体" w:cs="宋体"/>
          <w:b w:val="0"/>
          <w:bCs w:val="0"/>
          <w:sz w:val="24"/>
          <w:szCs w:val="24"/>
        </w:rPr>
        <w:t>》团体标准，由</w:t>
      </w:r>
      <w:r>
        <w:rPr>
          <w:rFonts w:hint="eastAsia" w:ascii="宋体" w:hAnsi="宋体" w:eastAsia="宋体" w:cs="宋体"/>
          <w:b w:val="0"/>
          <w:bCs w:val="0"/>
          <w:sz w:val="24"/>
          <w:szCs w:val="24"/>
          <w:lang w:val="en-US" w:eastAsia="zh-CN"/>
        </w:rPr>
        <w:t>杭州英健生物科技</w:t>
      </w:r>
      <w:r>
        <w:rPr>
          <w:rFonts w:hint="eastAsia" w:ascii="宋体" w:hAnsi="宋体" w:eastAsia="宋体" w:cs="宋体"/>
          <w:b w:val="0"/>
          <w:bCs w:val="0"/>
          <w:sz w:val="24"/>
          <w:szCs w:val="24"/>
        </w:rPr>
        <w:t>有限公司牵头起草</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中国生物材料学会标准工作委员会归口。202</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日，中国生物材料学会发布了《创面修复材料有效性评价 第1部分：</w:t>
      </w:r>
      <w:r>
        <w:rPr>
          <w:rFonts w:hint="eastAsia" w:ascii="宋体" w:hAnsi="宋体" w:eastAsia="宋体" w:cs="宋体"/>
          <w:b w:val="0"/>
          <w:bCs w:val="0"/>
          <w:sz w:val="24"/>
          <w:szCs w:val="24"/>
          <w:lang w:val="en-US" w:eastAsia="zh-CN"/>
        </w:rPr>
        <w:t>可溶性</w:t>
      </w:r>
      <w:r>
        <w:rPr>
          <w:rFonts w:hint="eastAsia" w:ascii="宋体" w:hAnsi="宋体" w:eastAsia="宋体" w:cs="宋体"/>
          <w:b w:val="0"/>
          <w:bCs w:val="0"/>
          <w:sz w:val="24"/>
          <w:szCs w:val="24"/>
        </w:rPr>
        <w:t>材料</w:t>
      </w:r>
      <w:r>
        <w:rPr>
          <w:rFonts w:hint="eastAsia" w:ascii="宋体" w:hAnsi="宋体" w:eastAsia="宋体" w:cs="宋体"/>
          <w:b w:val="0"/>
          <w:bCs w:val="0"/>
          <w:sz w:val="24"/>
          <w:szCs w:val="24"/>
          <w:lang w:val="en-US" w:eastAsia="zh-CN"/>
        </w:rPr>
        <w:t>体外</w:t>
      </w:r>
      <w:r>
        <w:rPr>
          <w:rFonts w:hint="eastAsia" w:ascii="宋体" w:hAnsi="宋体" w:eastAsia="宋体" w:cs="宋体"/>
          <w:b w:val="0"/>
          <w:bCs w:val="0"/>
          <w:sz w:val="24"/>
          <w:szCs w:val="24"/>
        </w:rPr>
        <w:t>评价法》等11项团体标准项目立项公示的通知，《创面修复材料有效性评价 第1部分：</w:t>
      </w:r>
      <w:r>
        <w:rPr>
          <w:rFonts w:hint="eastAsia" w:ascii="宋体" w:hAnsi="宋体" w:eastAsia="宋体" w:cs="宋体"/>
          <w:b w:val="0"/>
          <w:bCs w:val="0"/>
          <w:sz w:val="24"/>
          <w:szCs w:val="24"/>
          <w:lang w:eastAsia="zh-CN"/>
        </w:rPr>
        <w:t>可溶性材料体外评价方法</w:t>
      </w:r>
      <w:r>
        <w:rPr>
          <w:rFonts w:hint="eastAsia" w:ascii="宋体" w:hAnsi="宋体" w:eastAsia="宋体" w:cs="宋体"/>
          <w:b w:val="0"/>
          <w:bCs w:val="0"/>
          <w:sz w:val="24"/>
          <w:szCs w:val="24"/>
        </w:rPr>
        <w:t>》被列入中国生物材料学会202</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年团体标准批准立项清单</w:t>
      </w:r>
      <w:r>
        <w:rPr>
          <w:rFonts w:hint="eastAsia" w:ascii="宋体" w:hAnsi="宋体" w:eastAsia="宋体" w:cs="宋体"/>
          <w:b w:val="0"/>
          <w:bCs w:val="0"/>
          <w:sz w:val="24"/>
          <w:szCs w:val="24"/>
          <w:lang w:eastAsia="zh-CN"/>
        </w:rPr>
        <w:t>。</w:t>
      </w:r>
    </w:p>
    <w:p>
      <w:pPr>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1.2 起草工作组单位和团体标准主要起草人及其所做工作</w:t>
      </w:r>
    </w:p>
    <w:p>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本标准起草单位：</w:t>
      </w:r>
      <w:r>
        <w:rPr>
          <w:rFonts w:hint="eastAsia" w:ascii="宋体" w:hAnsi="宋体" w:eastAsia="宋体" w:cs="宋体"/>
          <w:kern w:val="0"/>
          <w:sz w:val="24"/>
          <w:szCs w:val="24"/>
        </w:rPr>
        <w:t>浙江杭州英健生物科技有限公司、中国食品药品检定研究院，四川大学生物医学工程学院</w:t>
      </w:r>
      <w:r>
        <w:rPr>
          <w:rFonts w:hint="eastAsia" w:ascii="宋体" w:hAnsi="宋体" w:eastAsia="宋体" w:cs="宋体"/>
          <w:sz w:val="24"/>
          <w:szCs w:val="24"/>
        </w:rPr>
        <w:t>。</w:t>
      </w:r>
    </w:p>
    <w:p>
      <w:pPr>
        <w:snapToGrid w:val="0"/>
        <w:spacing w:line="360" w:lineRule="auto"/>
        <w:ind w:firstLine="480" w:firstLineChars="200"/>
        <w:rPr>
          <w:rFonts w:hint="default" w:ascii="Times New Roman" w:hAnsi="Times New Roman" w:eastAsia="宋体" w:cs="Times New Roman"/>
          <w:sz w:val="24"/>
          <w:szCs w:val="24"/>
          <w:lang w:val="en-US" w:eastAsia="zh-CN"/>
        </w:rPr>
      </w:pPr>
      <w:r>
        <w:rPr>
          <w:rFonts w:ascii="Times New Roman" w:hAnsi="Times New Roman" w:eastAsia="宋体" w:cs="Times New Roman"/>
          <w:sz w:val="24"/>
          <w:szCs w:val="24"/>
        </w:rPr>
        <w:t>本标准主要起草人：</w:t>
      </w:r>
      <w:r>
        <w:rPr>
          <w:rFonts w:hint="eastAsia" w:ascii="Times New Roman" w:hAnsi="Times New Roman" w:eastAsia="宋体" w:cs="Times New Roman"/>
          <w:sz w:val="24"/>
          <w:szCs w:val="24"/>
          <w:lang w:val="en-US" w:eastAsia="zh-CN"/>
        </w:rPr>
        <w:t>戴建英，于栋杰，高欣怡，高洁、韩倩倩，王涵。梁洁，徐磊、邹文、王春仁</w:t>
      </w: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具体工作任务见表1。</w:t>
      </w:r>
    </w:p>
    <w:p>
      <w:pPr>
        <w:snapToGrid w:val="0"/>
        <w:spacing w:line="360" w:lineRule="auto"/>
        <w:ind w:firstLine="480" w:firstLineChars="200"/>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表</w:t>
      </w:r>
      <w:r>
        <w:rPr>
          <w:rFonts w:hint="eastAsia" w:ascii="Times New Roman" w:hAnsi="Times New Roman" w:eastAsia="宋体" w:cs="Times New Roman"/>
          <w:b/>
          <w:bCs/>
          <w:sz w:val="24"/>
          <w:szCs w:val="24"/>
          <w:lang w:val="en-US" w:eastAsia="zh-CN"/>
        </w:rPr>
        <w:t>1</w:t>
      </w:r>
      <w:r>
        <w:rPr>
          <w:rFonts w:hint="eastAsia" w:ascii="Times New Roman" w:hAnsi="Times New Roman" w:eastAsia="宋体" w:cs="Times New Roman"/>
          <w:b/>
          <w:bCs/>
          <w:sz w:val="24"/>
          <w:szCs w:val="24"/>
        </w:rPr>
        <w:t xml:space="preserve">  标准起草人及工作任务</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3641"/>
        <w:gridCol w:w="2426"/>
        <w:gridCol w:w="1530"/>
      </w:tblGrid>
      <w:tr>
        <w:trPr>
          <w:jc w:val="center"/>
        </w:trPr>
        <w:tc>
          <w:tcPr>
            <w:tcW w:w="1195" w:type="dxa"/>
          </w:tcPr>
          <w:p>
            <w:pPr>
              <w:autoSpaceDE w:val="0"/>
              <w:autoSpaceDN w:val="0"/>
              <w:adjustRightInd w:val="0"/>
              <w:spacing w:line="400" w:lineRule="exact"/>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姓名</w:t>
            </w:r>
          </w:p>
        </w:tc>
        <w:tc>
          <w:tcPr>
            <w:tcW w:w="3641" w:type="dxa"/>
          </w:tcPr>
          <w:p>
            <w:pPr>
              <w:autoSpaceDE w:val="0"/>
              <w:autoSpaceDN w:val="0"/>
              <w:adjustRightInd w:val="0"/>
              <w:spacing w:line="400" w:lineRule="exact"/>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单位</w:t>
            </w:r>
          </w:p>
        </w:tc>
        <w:tc>
          <w:tcPr>
            <w:tcW w:w="2426" w:type="dxa"/>
          </w:tcPr>
          <w:p>
            <w:pPr>
              <w:autoSpaceDE w:val="0"/>
              <w:autoSpaceDN w:val="0"/>
              <w:adjustRightInd w:val="0"/>
              <w:spacing w:line="400" w:lineRule="exact"/>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职称/职务</w:t>
            </w:r>
          </w:p>
        </w:tc>
        <w:tc>
          <w:tcPr>
            <w:tcW w:w="1530" w:type="dxa"/>
          </w:tcPr>
          <w:p>
            <w:pPr>
              <w:autoSpaceDE w:val="0"/>
              <w:autoSpaceDN w:val="0"/>
              <w:adjustRightInd w:val="0"/>
              <w:spacing w:line="400" w:lineRule="exact"/>
              <w:jc w:val="center"/>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职责</w:t>
            </w:r>
          </w:p>
        </w:tc>
      </w:tr>
      <w:tr>
        <w:trPr>
          <w:jc w:val="center"/>
        </w:trPr>
        <w:tc>
          <w:tcPr>
            <w:tcW w:w="1195" w:type="dxa"/>
            <w:vAlign w:val="center"/>
          </w:tcPr>
          <w:p>
            <w:pPr>
              <w:tabs>
                <w:tab w:val="left" w:pos="5706"/>
              </w:tabs>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戴建英</w:t>
            </w:r>
          </w:p>
        </w:tc>
        <w:tc>
          <w:tcPr>
            <w:tcW w:w="3641"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浙江杭州英健生物科技有限公司</w:t>
            </w:r>
          </w:p>
        </w:tc>
        <w:tc>
          <w:tcPr>
            <w:tcW w:w="2426" w:type="dxa"/>
            <w:vAlign w:val="center"/>
          </w:tcPr>
          <w:p>
            <w:pPr>
              <w:tabs>
                <w:tab w:val="left" w:pos="5706"/>
              </w:tabs>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课题负责人</w:t>
            </w:r>
          </w:p>
        </w:tc>
        <w:tc>
          <w:tcPr>
            <w:tcW w:w="1530" w:type="dxa"/>
            <w:vAlign w:val="center"/>
          </w:tcPr>
          <w:p>
            <w:pPr>
              <w:tabs>
                <w:tab w:val="left" w:pos="5706"/>
              </w:tabs>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项目负责人</w:t>
            </w:r>
          </w:p>
        </w:tc>
      </w:tr>
      <w:tr>
        <w:trPr>
          <w:jc w:val="center"/>
        </w:trPr>
        <w:tc>
          <w:tcPr>
            <w:tcW w:w="1195" w:type="dxa"/>
            <w:vAlign w:val="center"/>
          </w:tcPr>
          <w:p>
            <w:pPr>
              <w:tabs>
                <w:tab w:val="left" w:pos="5706"/>
              </w:tabs>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于栋杰</w:t>
            </w:r>
          </w:p>
        </w:tc>
        <w:tc>
          <w:tcPr>
            <w:tcW w:w="3641"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浙江杭州英健生物科技有限公司</w:t>
            </w:r>
          </w:p>
        </w:tc>
        <w:tc>
          <w:tcPr>
            <w:tcW w:w="2426" w:type="dxa"/>
            <w:vAlign w:val="center"/>
          </w:tcPr>
          <w:p>
            <w:pPr>
              <w:tabs>
                <w:tab w:val="left" w:pos="5706"/>
              </w:tabs>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项目负责人</w:t>
            </w:r>
          </w:p>
        </w:tc>
        <w:tc>
          <w:tcPr>
            <w:tcW w:w="1530" w:type="dxa"/>
            <w:vAlign w:val="center"/>
          </w:tcPr>
          <w:p>
            <w:pPr>
              <w:tabs>
                <w:tab w:val="left" w:pos="5706"/>
              </w:tabs>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标准起草</w:t>
            </w:r>
          </w:p>
        </w:tc>
      </w:tr>
      <w:tr>
        <w:trPr>
          <w:jc w:val="center"/>
        </w:trPr>
        <w:tc>
          <w:tcPr>
            <w:tcW w:w="1195" w:type="dxa"/>
            <w:vAlign w:val="center"/>
          </w:tcPr>
          <w:p>
            <w:pPr>
              <w:tabs>
                <w:tab w:val="left" w:pos="5706"/>
              </w:tabs>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高欣怡</w:t>
            </w:r>
          </w:p>
        </w:tc>
        <w:tc>
          <w:tcPr>
            <w:tcW w:w="3641"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浙江杭州英健生物科技有限公司</w:t>
            </w:r>
          </w:p>
        </w:tc>
        <w:tc>
          <w:tcPr>
            <w:tcW w:w="2426" w:type="dxa"/>
            <w:vAlign w:val="center"/>
          </w:tcPr>
          <w:p>
            <w:pPr>
              <w:tabs>
                <w:tab w:val="left" w:pos="5706"/>
              </w:tabs>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项目负责人</w:t>
            </w:r>
          </w:p>
        </w:tc>
        <w:tc>
          <w:tcPr>
            <w:tcW w:w="1530" w:type="dxa"/>
            <w:vAlign w:val="center"/>
          </w:tcPr>
          <w:p>
            <w:pPr>
              <w:tabs>
                <w:tab w:val="left" w:pos="5706"/>
              </w:tabs>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标准起草</w:t>
            </w:r>
          </w:p>
        </w:tc>
      </w:tr>
      <w:tr>
        <w:trPr>
          <w:jc w:val="center"/>
        </w:trPr>
        <w:tc>
          <w:tcPr>
            <w:tcW w:w="1195" w:type="dxa"/>
            <w:vAlign w:val="center"/>
          </w:tcPr>
          <w:p>
            <w:pPr>
              <w:tabs>
                <w:tab w:val="left" w:pos="5706"/>
              </w:tabs>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高洁</w:t>
            </w:r>
          </w:p>
        </w:tc>
        <w:tc>
          <w:tcPr>
            <w:tcW w:w="3641"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浙江杭州英健生物科技有限公司</w:t>
            </w:r>
          </w:p>
        </w:tc>
        <w:tc>
          <w:tcPr>
            <w:tcW w:w="2426" w:type="dxa"/>
            <w:vAlign w:val="center"/>
          </w:tcPr>
          <w:p>
            <w:pPr>
              <w:tabs>
                <w:tab w:val="left" w:pos="5706"/>
              </w:tabs>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项目骨干</w:t>
            </w:r>
          </w:p>
        </w:tc>
        <w:tc>
          <w:tcPr>
            <w:tcW w:w="1530" w:type="dxa"/>
            <w:vAlign w:val="center"/>
          </w:tcPr>
          <w:p>
            <w:pPr>
              <w:tabs>
                <w:tab w:val="left" w:pos="5706"/>
              </w:tabs>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标准起草</w:t>
            </w:r>
          </w:p>
        </w:tc>
      </w:tr>
      <w:tr>
        <w:trPr>
          <w:jc w:val="center"/>
        </w:trPr>
        <w:tc>
          <w:tcPr>
            <w:tcW w:w="1195" w:type="dxa"/>
            <w:vAlign w:val="center"/>
          </w:tcPr>
          <w:p>
            <w:pPr>
              <w:tabs>
                <w:tab w:val="left" w:pos="5706"/>
              </w:tabs>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韩倩倩</w:t>
            </w:r>
          </w:p>
        </w:tc>
        <w:tc>
          <w:tcPr>
            <w:tcW w:w="3641"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中国食品药品检定研究院</w:t>
            </w:r>
          </w:p>
        </w:tc>
        <w:tc>
          <w:tcPr>
            <w:tcW w:w="2426" w:type="dxa"/>
            <w:vAlign w:val="center"/>
          </w:tcPr>
          <w:p>
            <w:pPr>
              <w:tabs>
                <w:tab w:val="left" w:pos="5706"/>
              </w:tabs>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正高</w:t>
            </w:r>
          </w:p>
        </w:tc>
        <w:tc>
          <w:tcPr>
            <w:tcW w:w="1530" w:type="dxa"/>
            <w:vAlign w:val="center"/>
          </w:tcPr>
          <w:p>
            <w:pPr>
              <w:tabs>
                <w:tab w:val="left" w:pos="5706"/>
              </w:tabs>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标准起草</w:t>
            </w:r>
          </w:p>
        </w:tc>
      </w:tr>
      <w:tr>
        <w:trPr>
          <w:jc w:val="center"/>
        </w:trPr>
        <w:tc>
          <w:tcPr>
            <w:tcW w:w="1195" w:type="dxa"/>
            <w:vAlign w:val="center"/>
          </w:tcPr>
          <w:p>
            <w:pPr>
              <w:tabs>
                <w:tab w:val="left" w:pos="5706"/>
              </w:tabs>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王涵</w:t>
            </w:r>
          </w:p>
        </w:tc>
        <w:tc>
          <w:tcPr>
            <w:tcW w:w="3641"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中国食品药品检定研究院</w:t>
            </w:r>
          </w:p>
        </w:tc>
        <w:tc>
          <w:tcPr>
            <w:tcW w:w="2426" w:type="dxa"/>
            <w:vAlign w:val="center"/>
          </w:tcPr>
          <w:p>
            <w:pPr>
              <w:tabs>
                <w:tab w:val="left" w:pos="5706"/>
              </w:tabs>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中级</w:t>
            </w:r>
          </w:p>
        </w:tc>
        <w:tc>
          <w:tcPr>
            <w:tcW w:w="1530" w:type="dxa"/>
            <w:vAlign w:val="center"/>
          </w:tcPr>
          <w:p>
            <w:pPr>
              <w:tabs>
                <w:tab w:val="left" w:pos="5706"/>
              </w:tabs>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标准起草</w:t>
            </w:r>
          </w:p>
        </w:tc>
      </w:tr>
      <w:tr>
        <w:trPr>
          <w:jc w:val="center"/>
        </w:trPr>
        <w:tc>
          <w:tcPr>
            <w:tcW w:w="1195" w:type="dxa"/>
            <w:vAlign w:val="center"/>
          </w:tcPr>
          <w:p>
            <w:pPr>
              <w:tabs>
                <w:tab w:val="left" w:pos="5706"/>
              </w:tabs>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梁洁</w:t>
            </w:r>
          </w:p>
        </w:tc>
        <w:tc>
          <w:tcPr>
            <w:tcW w:w="3641" w:type="dxa"/>
            <w:vAlign w:val="center"/>
          </w:tcPr>
          <w:p>
            <w:pPr>
              <w:tabs>
                <w:tab w:val="left" w:pos="5706"/>
              </w:tabs>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四川大学生物医学工程学院</w:t>
            </w:r>
          </w:p>
        </w:tc>
        <w:tc>
          <w:tcPr>
            <w:tcW w:w="2426" w:type="dxa"/>
            <w:vAlign w:val="center"/>
          </w:tcPr>
          <w:p>
            <w:pPr>
              <w:tabs>
                <w:tab w:val="left" w:pos="5706"/>
              </w:tabs>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正高</w:t>
            </w:r>
          </w:p>
        </w:tc>
        <w:tc>
          <w:tcPr>
            <w:tcW w:w="1530" w:type="dxa"/>
            <w:vAlign w:val="center"/>
          </w:tcPr>
          <w:p>
            <w:pPr>
              <w:tabs>
                <w:tab w:val="left" w:pos="5706"/>
              </w:tabs>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标准起草</w:t>
            </w:r>
          </w:p>
        </w:tc>
      </w:tr>
      <w:tr>
        <w:trPr>
          <w:jc w:val="center"/>
        </w:trPr>
        <w:tc>
          <w:tcPr>
            <w:tcW w:w="1195" w:type="dxa"/>
            <w:vAlign w:val="center"/>
          </w:tcPr>
          <w:p>
            <w:pPr>
              <w:pStyle w:val="10"/>
              <w:keepNext w:val="0"/>
              <w:keepLines w:val="0"/>
              <w:widowControl/>
              <w:suppressLineNumbers w:val="0"/>
              <w:ind w:left="0" w:leftChars="0" w:right="0" w:right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404040"/>
                <w:sz w:val="24"/>
                <w:szCs w:val="24"/>
              </w:rPr>
              <w:t>徐磊</w:t>
            </w:r>
          </w:p>
        </w:tc>
        <w:tc>
          <w:tcPr>
            <w:tcW w:w="3641" w:type="dxa"/>
            <w:vAlign w:val="center"/>
          </w:tcPr>
          <w:p>
            <w:pPr>
              <w:pStyle w:val="10"/>
              <w:keepNext w:val="0"/>
              <w:keepLines w:val="0"/>
              <w:widowControl/>
              <w:suppressLineNumbers w:val="0"/>
              <w:ind w:left="0" w:leftChars="0" w:right="0" w:right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浙江杭州英健生物科技有限公司</w:t>
            </w:r>
          </w:p>
        </w:tc>
        <w:tc>
          <w:tcPr>
            <w:tcW w:w="2426" w:type="dxa"/>
            <w:vAlign w:val="center"/>
          </w:tcPr>
          <w:p>
            <w:pPr>
              <w:pStyle w:val="10"/>
              <w:keepNext w:val="0"/>
              <w:keepLines w:val="0"/>
              <w:widowControl/>
              <w:suppressLineNumbers w:val="0"/>
              <w:ind w:right="0" w:rightChars="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404040"/>
                <w:sz w:val="24"/>
                <w:szCs w:val="24"/>
              </w:rPr>
              <w:t>正高</w:t>
            </w:r>
          </w:p>
        </w:tc>
        <w:tc>
          <w:tcPr>
            <w:tcW w:w="1530" w:type="dxa"/>
            <w:vAlign w:val="center"/>
          </w:tcPr>
          <w:p>
            <w:pPr>
              <w:tabs>
                <w:tab w:val="left" w:pos="5706"/>
              </w:tabs>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标准起草</w:t>
            </w:r>
          </w:p>
        </w:tc>
      </w:tr>
      <w:tr>
        <w:trPr>
          <w:jc w:val="center"/>
        </w:trPr>
        <w:tc>
          <w:tcPr>
            <w:tcW w:w="1195" w:type="dxa"/>
            <w:vAlign w:val="center"/>
          </w:tcPr>
          <w:p>
            <w:pPr>
              <w:tabs>
                <w:tab w:val="left" w:pos="5706"/>
              </w:tabs>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邹文</w:t>
            </w:r>
          </w:p>
        </w:tc>
        <w:tc>
          <w:tcPr>
            <w:tcW w:w="3641" w:type="dxa"/>
            <w:vAlign w:val="center"/>
          </w:tcPr>
          <w:p>
            <w:pPr>
              <w:tabs>
                <w:tab w:val="left" w:pos="5706"/>
              </w:tabs>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四川大学生物医学工程学院</w:t>
            </w:r>
          </w:p>
        </w:tc>
        <w:tc>
          <w:tcPr>
            <w:tcW w:w="2426" w:type="dxa"/>
            <w:vAlign w:val="center"/>
          </w:tcPr>
          <w:p>
            <w:pPr>
              <w:tabs>
                <w:tab w:val="left" w:pos="5706"/>
              </w:tabs>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副高</w:t>
            </w:r>
          </w:p>
        </w:tc>
        <w:tc>
          <w:tcPr>
            <w:tcW w:w="1530" w:type="dxa"/>
            <w:vAlign w:val="center"/>
          </w:tcPr>
          <w:p>
            <w:pPr>
              <w:tabs>
                <w:tab w:val="left" w:pos="5706"/>
              </w:tabs>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标准起草</w:t>
            </w:r>
          </w:p>
        </w:tc>
      </w:tr>
      <w:tr>
        <w:trPr>
          <w:jc w:val="center"/>
        </w:trPr>
        <w:tc>
          <w:tcPr>
            <w:tcW w:w="1195" w:type="dxa"/>
            <w:vAlign w:val="center"/>
          </w:tcPr>
          <w:p>
            <w:pPr>
              <w:tabs>
                <w:tab w:val="left" w:pos="5706"/>
              </w:tabs>
              <w:jc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王春仁</w:t>
            </w:r>
          </w:p>
        </w:tc>
        <w:tc>
          <w:tcPr>
            <w:tcW w:w="3641" w:type="dxa"/>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中国食品药品检定研究院</w:t>
            </w:r>
          </w:p>
        </w:tc>
        <w:tc>
          <w:tcPr>
            <w:tcW w:w="2426" w:type="dxa"/>
            <w:vAlign w:val="center"/>
          </w:tcPr>
          <w:p>
            <w:pPr>
              <w:tabs>
                <w:tab w:val="left" w:pos="5706"/>
              </w:tabs>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正高</w:t>
            </w:r>
          </w:p>
        </w:tc>
        <w:tc>
          <w:tcPr>
            <w:tcW w:w="1530" w:type="dxa"/>
            <w:vAlign w:val="center"/>
          </w:tcPr>
          <w:p>
            <w:pPr>
              <w:tabs>
                <w:tab w:val="left" w:pos="5706"/>
              </w:tabs>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标准起草</w:t>
            </w:r>
          </w:p>
        </w:tc>
      </w:tr>
    </w:tbl>
    <w:p>
      <w:pPr>
        <w:snapToGrid w:val="0"/>
        <w:spacing w:line="360" w:lineRule="auto"/>
        <w:ind w:firstLine="480" w:firstLineChars="200"/>
        <w:jc w:val="center"/>
        <w:rPr>
          <w:rFonts w:hint="eastAsia" w:ascii="宋体" w:hAnsi="宋体" w:eastAsia="宋体" w:cs="宋体"/>
          <w:sz w:val="24"/>
          <w:szCs w:val="24"/>
        </w:rPr>
      </w:pPr>
    </w:p>
    <w:p>
      <w:pPr>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1.3 主要工作过程</w:t>
      </w:r>
    </w:p>
    <w:p>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在确定标准制定任务后，标准起草</w:t>
      </w:r>
      <w:r>
        <w:rPr>
          <w:rFonts w:hint="eastAsia" w:ascii="Times New Roman" w:hAnsi="Times New Roman" w:eastAsia="宋体" w:cs="Times New Roman"/>
          <w:sz w:val="24"/>
          <w:lang w:val="en-US" w:eastAsia="zh-CN"/>
        </w:rPr>
        <w:t>工作组</w:t>
      </w:r>
      <w:r>
        <w:rPr>
          <w:rFonts w:hint="eastAsia" w:ascii="Times New Roman" w:hAnsi="Times New Roman" w:eastAsia="宋体" w:cs="Times New Roman"/>
          <w:sz w:val="24"/>
        </w:rPr>
        <w:t>依照国家有关规定及</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中国生物材料学会团体标准管理办法</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，根据</w:t>
      </w:r>
      <w:r>
        <w:rPr>
          <w:rFonts w:hint="eastAsia" w:ascii="Times New Roman" w:hAnsi="Times New Roman" w:eastAsia="宋体" w:cs="Times New Roman"/>
          <w:sz w:val="24"/>
          <w:lang w:val="en-US" w:eastAsia="zh-CN"/>
        </w:rPr>
        <w:t>团体标准</w:t>
      </w:r>
      <w:r>
        <w:rPr>
          <w:rFonts w:hint="eastAsia" w:ascii="Times New Roman" w:hAnsi="Times New Roman" w:eastAsia="宋体" w:cs="Times New Roman"/>
          <w:sz w:val="24"/>
        </w:rPr>
        <w:t>进度</w:t>
      </w:r>
      <w:r>
        <w:rPr>
          <w:rFonts w:hint="eastAsia" w:ascii="Times New Roman" w:hAnsi="Times New Roman" w:eastAsia="宋体" w:cs="Times New Roman"/>
          <w:sz w:val="24"/>
          <w:lang w:val="en-US" w:eastAsia="zh-CN"/>
        </w:rPr>
        <w:t>计划</w:t>
      </w:r>
      <w:r>
        <w:rPr>
          <w:rFonts w:hint="eastAsia" w:ascii="Times New Roman" w:hAnsi="Times New Roman" w:eastAsia="宋体" w:cs="Times New Roman"/>
          <w:sz w:val="24"/>
        </w:rPr>
        <w:t>安排组织实施。在标准草案编制工作过程中，标准</w:t>
      </w:r>
      <w:r>
        <w:rPr>
          <w:rFonts w:hint="eastAsia" w:ascii="Times New Roman" w:hAnsi="Times New Roman" w:eastAsia="宋体" w:cs="Times New Roman"/>
          <w:sz w:val="24"/>
          <w:lang w:val="en-US" w:eastAsia="zh-CN"/>
        </w:rPr>
        <w:t>起草</w:t>
      </w:r>
      <w:r>
        <w:rPr>
          <w:rFonts w:hint="eastAsia" w:ascii="Times New Roman" w:hAnsi="Times New Roman" w:eastAsia="宋体" w:cs="Times New Roman"/>
          <w:sz w:val="24"/>
        </w:rPr>
        <w:t>工作组通过大量文献</w:t>
      </w:r>
      <w:r>
        <w:rPr>
          <w:rFonts w:hint="eastAsia" w:ascii="Times New Roman" w:hAnsi="Times New Roman" w:eastAsia="宋体" w:cs="Times New Roman"/>
          <w:sz w:val="24"/>
          <w:lang w:val="en-US" w:eastAsia="zh-CN"/>
        </w:rPr>
        <w:t>检索与</w:t>
      </w:r>
      <w:r>
        <w:rPr>
          <w:rFonts w:hint="eastAsia" w:ascii="Times New Roman" w:hAnsi="Times New Roman" w:eastAsia="宋体" w:cs="Times New Roman"/>
          <w:sz w:val="24"/>
        </w:rPr>
        <w:t>查阅，</w:t>
      </w:r>
      <w:r>
        <w:rPr>
          <w:rFonts w:hint="eastAsia" w:ascii="Times New Roman" w:hAnsi="Times New Roman" w:eastAsia="宋体" w:cs="Times New Roman"/>
          <w:sz w:val="24"/>
          <w:lang w:val="en-US" w:eastAsia="zh-CN"/>
        </w:rPr>
        <w:t>分析《</w:t>
      </w:r>
      <w:r>
        <w:rPr>
          <w:rFonts w:hint="eastAsia" w:ascii="宋体" w:hAnsi="宋体" w:eastAsia="宋体" w:cs="宋体"/>
          <w:b w:val="0"/>
          <w:bCs w:val="0"/>
          <w:sz w:val="24"/>
          <w:szCs w:val="24"/>
        </w:rPr>
        <w:t>创面修复材料有效性评价 第1部分：</w:t>
      </w:r>
      <w:r>
        <w:rPr>
          <w:rFonts w:hint="eastAsia" w:ascii="宋体" w:hAnsi="宋体" w:eastAsia="宋体" w:cs="宋体"/>
          <w:b w:val="0"/>
          <w:bCs w:val="0"/>
          <w:sz w:val="24"/>
          <w:szCs w:val="24"/>
          <w:lang w:eastAsia="zh-CN"/>
        </w:rPr>
        <w:t>可溶性材料体外评价方法》</w:t>
      </w:r>
      <w:r>
        <w:rPr>
          <w:rFonts w:hint="eastAsia" w:ascii="Times New Roman" w:hAnsi="Times New Roman" w:eastAsia="宋体" w:cs="Times New Roman"/>
          <w:sz w:val="24"/>
          <w:lang w:val="en-US" w:eastAsia="zh-CN"/>
        </w:rPr>
        <w:t>团体标准立项可能性，</w:t>
      </w:r>
      <w:r>
        <w:rPr>
          <w:rFonts w:hint="eastAsia" w:ascii="Times New Roman" w:hAnsi="Times New Roman" w:eastAsia="宋体" w:cs="Times New Roman"/>
          <w:sz w:val="24"/>
        </w:rPr>
        <w:t>参考了相关国家标准、行业标准，以对</w:t>
      </w:r>
      <w:r>
        <w:rPr>
          <w:rFonts w:hint="eastAsia" w:ascii="Times New Roman" w:hAnsi="Times New Roman" w:eastAsia="宋体" w:cs="Times New Roman"/>
          <w:sz w:val="24"/>
          <w:lang w:eastAsia="zh-CN"/>
        </w:rPr>
        <w:t>《</w:t>
      </w:r>
      <w:r>
        <w:rPr>
          <w:rFonts w:hint="eastAsia" w:ascii="宋体" w:hAnsi="宋体" w:eastAsia="宋体" w:cs="宋体"/>
          <w:b w:val="0"/>
          <w:bCs w:val="0"/>
          <w:sz w:val="24"/>
          <w:szCs w:val="24"/>
        </w:rPr>
        <w:t>创面修复材料有效性评价 第1部分：</w:t>
      </w:r>
      <w:r>
        <w:rPr>
          <w:rFonts w:hint="eastAsia" w:ascii="宋体" w:hAnsi="宋体" w:eastAsia="宋体" w:cs="宋体"/>
          <w:b w:val="0"/>
          <w:bCs w:val="0"/>
          <w:sz w:val="24"/>
          <w:szCs w:val="24"/>
          <w:lang w:eastAsia="zh-CN"/>
        </w:rPr>
        <w:t>可溶性材料体外评价方法》</w:t>
      </w:r>
      <w:r>
        <w:rPr>
          <w:rFonts w:hint="eastAsia" w:ascii="Times New Roman" w:hAnsi="Times New Roman" w:eastAsia="宋体" w:cs="Times New Roman"/>
          <w:sz w:val="24"/>
        </w:rPr>
        <w:t>进行各项主要技术指标检测和试验方法验证为依据，并在与本团体标准有关的科研、生产、使用、管理单位进行充分沟通的基础上，起草制定了本团体标准。</w:t>
      </w:r>
    </w:p>
    <w:p>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（一）预研阶段</w:t>
      </w:r>
    </w:p>
    <w:p>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2022年</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2月，</w:t>
      </w:r>
      <w:r>
        <w:rPr>
          <w:rFonts w:hint="eastAsia" w:ascii="宋体" w:hAnsi="宋体" w:eastAsia="宋体" w:cs="宋体"/>
          <w:kern w:val="0"/>
          <w:sz w:val="24"/>
          <w:szCs w:val="24"/>
        </w:rPr>
        <w:t>浙江杭州英健生物科技有限公司、中国食品药品检定研究院，四川大学生物医学工程学院</w:t>
      </w:r>
      <w:r>
        <w:rPr>
          <w:rFonts w:hint="eastAsia" w:ascii="Times New Roman" w:hAnsi="Times New Roman" w:eastAsia="宋体" w:cs="Times New Roman"/>
          <w:sz w:val="24"/>
        </w:rPr>
        <w:t>召开标准研制研讨会，共同研究和探讨</w:t>
      </w:r>
      <w:r>
        <w:rPr>
          <w:rFonts w:hint="eastAsia" w:ascii="Times New Roman" w:hAnsi="Times New Roman" w:eastAsia="宋体" w:cs="Times New Roman"/>
          <w:sz w:val="24"/>
          <w:lang w:eastAsia="zh-CN"/>
        </w:rPr>
        <w:t>《</w:t>
      </w:r>
      <w:r>
        <w:rPr>
          <w:rFonts w:hint="eastAsia" w:ascii="宋体" w:hAnsi="宋体" w:eastAsia="宋体" w:cs="宋体"/>
          <w:b w:val="0"/>
          <w:bCs w:val="0"/>
          <w:sz w:val="24"/>
          <w:szCs w:val="24"/>
        </w:rPr>
        <w:t>创面修复材料有效性评价 第1部分：</w:t>
      </w:r>
      <w:r>
        <w:rPr>
          <w:rFonts w:hint="eastAsia" w:ascii="宋体" w:hAnsi="宋体" w:eastAsia="宋体" w:cs="宋体"/>
          <w:b w:val="0"/>
          <w:bCs w:val="0"/>
          <w:sz w:val="24"/>
          <w:szCs w:val="24"/>
          <w:lang w:eastAsia="zh-CN"/>
        </w:rPr>
        <w:t>可溶性材料体外评价方法》</w:t>
      </w:r>
      <w:r>
        <w:rPr>
          <w:rFonts w:hint="eastAsia" w:ascii="Times New Roman" w:hAnsi="Times New Roman" w:eastAsia="宋体" w:cs="Times New Roman"/>
          <w:sz w:val="24"/>
        </w:rPr>
        <w:t>标准化工作。项目组对相关技术及标准情况进行了查新和分析，结合前期研究及验证数据，就如何进一步规范</w:t>
      </w:r>
      <w:r>
        <w:rPr>
          <w:rFonts w:hint="eastAsia" w:ascii="Times New Roman" w:hAnsi="Times New Roman" w:eastAsia="宋体" w:cs="Times New Roman"/>
          <w:sz w:val="24"/>
          <w:lang w:eastAsia="zh-CN"/>
        </w:rPr>
        <w:t>《</w:t>
      </w:r>
      <w:r>
        <w:rPr>
          <w:rFonts w:hint="eastAsia" w:ascii="宋体" w:hAnsi="宋体" w:eastAsia="宋体" w:cs="宋体"/>
          <w:b w:val="0"/>
          <w:bCs w:val="0"/>
          <w:sz w:val="24"/>
          <w:szCs w:val="24"/>
        </w:rPr>
        <w:t>创面修复材料有效性评价 第1部分：</w:t>
      </w:r>
      <w:r>
        <w:rPr>
          <w:rFonts w:hint="eastAsia" w:ascii="宋体" w:hAnsi="宋体" w:eastAsia="宋体" w:cs="宋体"/>
          <w:b w:val="0"/>
          <w:bCs w:val="0"/>
          <w:sz w:val="24"/>
          <w:szCs w:val="24"/>
          <w:lang w:eastAsia="zh-CN"/>
        </w:rPr>
        <w:t>可溶性材料体外评价方法》</w:t>
      </w:r>
      <w:r>
        <w:rPr>
          <w:rFonts w:hint="eastAsia" w:ascii="Times New Roman" w:hAnsi="Times New Roman" w:eastAsia="宋体" w:cs="Times New Roman"/>
          <w:sz w:val="24"/>
          <w:lang w:val="en-US" w:eastAsia="zh-CN"/>
        </w:rPr>
        <w:t>检测</w:t>
      </w:r>
      <w:r>
        <w:rPr>
          <w:rFonts w:hint="eastAsia" w:ascii="Times New Roman" w:hAnsi="Times New Roman" w:eastAsia="宋体" w:cs="Times New Roman"/>
          <w:sz w:val="24"/>
        </w:rPr>
        <w:t>技术、如何保证</w:t>
      </w:r>
      <w:r>
        <w:rPr>
          <w:rFonts w:hint="eastAsia" w:ascii="Times New Roman" w:hAnsi="Times New Roman" w:eastAsia="宋体" w:cs="Times New Roman"/>
          <w:sz w:val="24"/>
          <w:lang w:val="en-US" w:eastAsia="zh-CN"/>
        </w:rPr>
        <w:t>标准</w:t>
      </w:r>
      <w:r>
        <w:rPr>
          <w:rFonts w:hint="eastAsia" w:ascii="Times New Roman" w:hAnsi="Times New Roman" w:eastAsia="宋体" w:cs="Times New Roman"/>
          <w:sz w:val="24"/>
        </w:rPr>
        <w:t>检测结果准确、可靠，为开展</w:t>
      </w:r>
      <w:r>
        <w:rPr>
          <w:rFonts w:hint="eastAsia" w:ascii="Times New Roman" w:hAnsi="Times New Roman" w:eastAsia="宋体" w:cs="Times New Roman"/>
          <w:sz w:val="24"/>
          <w:lang w:val="en-US" w:eastAsia="zh-CN"/>
        </w:rPr>
        <w:t>团体标准检测技术方法</w:t>
      </w:r>
      <w:r>
        <w:rPr>
          <w:rFonts w:hint="eastAsia" w:ascii="Times New Roman" w:hAnsi="Times New Roman" w:eastAsia="宋体" w:cs="Times New Roman"/>
          <w:sz w:val="24"/>
        </w:rPr>
        <w:t>研究分析等进行了研讨，拟定了团体标准的名称，确定团体标准的适用范围。标准编制组针对</w:t>
      </w:r>
      <w:r>
        <w:rPr>
          <w:rFonts w:hint="eastAsia" w:ascii="Times New Roman" w:hAnsi="Times New Roman" w:eastAsia="宋体" w:cs="Times New Roman"/>
          <w:sz w:val="24"/>
          <w:lang w:eastAsia="zh-CN"/>
        </w:rPr>
        <w:t>《</w:t>
      </w:r>
      <w:r>
        <w:rPr>
          <w:rFonts w:hint="eastAsia" w:ascii="宋体" w:hAnsi="宋体" w:eastAsia="宋体" w:cs="宋体"/>
          <w:b w:val="0"/>
          <w:bCs w:val="0"/>
          <w:sz w:val="24"/>
          <w:szCs w:val="24"/>
        </w:rPr>
        <w:t>创面修复材料有效性评价 第1部分：</w:t>
      </w:r>
      <w:r>
        <w:rPr>
          <w:rFonts w:hint="eastAsia" w:ascii="宋体" w:hAnsi="宋体" w:eastAsia="宋体" w:cs="宋体"/>
          <w:b w:val="0"/>
          <w:bCs w:val="0"/>
          <w:sz w:val="24"/>
          <w:szCs w:val="24"/>
          <w:lang w:eastAsia="zh-CN"/>
        </w:rPr>
        <w:t>可溶性材料体外评价方法》</w:t>
      </w:r>
      <w:r>
        <w:rPr>
          <w:rFonts w:hint="eastAsia" w:ascii="Times New Roman" w:hAnsi="Times New Roman" w:eastAsia="宋体" w:cs="Times New Roman"/>
          <w:sz w:val="24"/>
        </w:rPr>
        <w:t>，开始搜集、查阅相关国家政策、科研文献、资料及标准查新工作，并结合</w:t>
      </w:r>
      <w:r>
        <w:rPr>
          <w:rFonts w:hint="eastAsia" w:ascii="Times New Roman" w:hAnsi="Times New Roman" w:eastAsia="宋体" w:cs="Times New Roman"/>
          <w:sz w:val="24"/>
          <w:lang w:val="en-US" w:eastAsia="zh-CN"/>
        </w:rPr>
        <w:t>团体标准检测</w:t>
      </w:r>
      <w:r>
        <w:rPr>
          <w:rFonts w:hint="eastAsia" w:ascii="Times New Roman" w:hAnsi="Times New Roman" w:eastAsia="宋体" w:cs="Times New Roman"/>
          <w:sz w:val="24"/>
        </w:rPr>
        <w:t>行业内现状，论证标准立项的可行性，形成标准框架。</w:t>
      </w:r>
    </w:p>
    <w:p>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（二）立项阶段</w:t>
      </w:r>
    </w:p>
    <w:p>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2022年</w:t>
      </w:r>
      <w:r>
        <w:rPr>
          <w:rFonts w:hint="eastAsia" w:ascii="Times New Roman" w:hAnsi="Times New Roman" w:eastAsia="宋体" w:cs="Times New Roman"/>
          <w:sz w:val="24"/>
          <w:lang w:val="en-US" w:eastAsia="zh-CN"/>
        </w:rPr>
        <w:t>12</w:t>
      </w:r>
      <w:r>
        <w:rPr>
          <w:rFonts w:hint="eastAsia" w:ascii="Times New Roman" w:hAnsi="Times New Roman" w:eastAsia="宋体" w:cs="Times New Roman"/>
          <w:sz w:val="24"/>
        </w:rPr>
        <w:t>月，标准编制工作组向中国生物材料学会提交立项申请。根据《中国生物材料学会团体标准管理办法》的相关要求，202</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年1月</w:t>
      </w:r>
      <w:r>
        <w:rPr>
          <w:rFonts w:hint="eastAsia" w:ascii="Times New Roman" w:hAnsi="Times New Roman" w:eastAsia="宋体" w:cs="Times New Roman"/>
          <w:sz w:val="24"/>
          <w:lang w:val="en-US" w:eastAsia="zh-CN"/>
        </w:rPr>
        <w:t>7</w:t>
      </w:r>
      <w:r>
        <w:rPr>
          <w:rFonts w:hint="eastAsia" w:ascii="Times New Roman" w:hAnsi="Times New Roman" w:eastAsia="宋体" w:cs="Times New Roman"/>
          <w:sz w:val="24"/>
        </w:rPr>
        <w:t>日召开立项评审会，对</w:t>
      </w:r>
      <w:r>
        <w:rPr>
          <w:rFonts w:hint="eastAsia" w:ascii="Times New Roman" w:hAnsi="Times New Roman" w:eastAsia="宋体" w:cs="Times New Roman"/>
          <w:sz w:val="24"/>
          <w:lang w:eastAsia="zh-CN"/>
        </w:rPr>
        <w:t>《</w:t>
      </w:r>
      <w:r>
        <w:rPr>
          <w:rFonts w:hint="eastAsia" w:ascii="宋体" w:hAnsi="宋体" w:eastAsia="宋体" w:cs="宋体"/>
          <w:b w:val="0"/>
          <w:bCs w:val="0"/>
          <w:sz w:val="24"/>
          <w:szCs w:val="24"/>
        </w:rPr>
        <w:t>创面修复材料有效性评价 第1部分：</w:t>
      </w:r>
      <w:r>
        <w:rPr>
          <w:rFonts w:hint="eastAsia" w:ascii="宋体" w:hAnsi="宋体" w:eastAsia="宋体" w:cs="宋体"/>
          <w:b w:val="0"/>
          <w:bCs w:val="0"/>
          <w:sz w:val="24"/>
          <w:szCs w:val="24"/>
          <w:lang w:eastAsia="zh-CN"/>
        </w:rPr>
        <w:t>可溶性材料体外评价方法》</w:t>
      </w:r>
      <w:r>
        <w:rPr>
          <w:rFonts w:hint="eastAsia" w:ascii="Times New Roman" w:hAnsi="Times New Roman" w:eastAsia="宋体" w:cs="Times New Roman"/>
          <w:sz w:val="24"/>
          <w:lang w:val="en-US" w:eastAsia="zh-CN"/>
        </w:rPr>
        <w:t>团体</w:t>
      </w:r>
      <w:r>
        <w:rPr>
          <w:rFonts w:hint="eastAsia" w:ascii="Times New Roman" w:hAnsi="Times New Roman" w:eastAsia="宋体" w:cs="Times New Roman"/>
          <w:sz w:val="24"/>
        </w:rPr>
        <w:t>标准进行了立项审查，经技术专家认真研究与审核，标准符合立项条件，于2023年</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日正式立项。</w:t>
      </w:r>
    </w:p>
    <w:p>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（三）起草阶段</w:t>
      </w:r>
    </w:p>
    <w:p>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202</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12</w:t>
      </w:r>
      <w:r>
        <w:rPr>
          <w:rFonts w:hint="eastAsia" w:ascii="Times New Roman" w:hAnsi="Times New Roman" w:eastAsia="宋体" w:cs="Times New Roman"/>
          <w:sz w:val="24"/>
        </w:rPr>
        <w:t>月-2023年</w:t>
      </w: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rPr>
        <w:t>月，标准编制工作组通过专家访谈方式，对标准内技术内容进行研讨，采纳专家提出的宝贵意见和建议，并在原有的基础上调整了标准框架，对标准中的</w:t>
      </w:r>
      <w:r>
        <w:rPr>
          <w:rFonts w:hint="eastAsia" w:ascii="Times New Roman" w:hAnsi="Times New Roman" w:eastAsia="宋体" w:cs="Times New Roman"/>
          <w:sz w:val="24"/>
          <w:lang w:val="en-US" w:eastAsia="zh-CN"/>
        </w:rPr>
        <w:t>检测</w:t>
      </w:r>
      <w:r>
        <w:rPr>
          <w:rFonts w:hint="eastAsia" w:ascii="Times New Roman" w:hAnsi="Times New Roman" w:eastAsia="宋体" w:cs="Times New Roman"/>
          <w:sz w:val="24"/>
        </w:rPr>
        <w:t>指标进行了下一步讨论，商讨了</w:t>
      </w:r>
      <w:r>
        <w:rPr>
          <w:rFonts w:hint="eastAsia" w:ascii="Times New Roman" w:hAnsi="Times New Roman" w:eastAsia="宋体" w:cs="Times New Roman"/>
          <w:sz w:val="24"/>
          <w:lang w:eastAsia="zh-CN"/>
        </w:rPr>
        <w:t>《</w:t>
      </w:r>
      <w:r>
        <w:rPr>
          <w:rFonts w:hint="eastAsia" w:ascii="宋体" w:hAnsi="宋体" w:eastAsia="宋体" w:cs="宋体"/>
          <w:b w:val="0"/>
          <w:bCs w:val="0"/>
          <w:sz w:val="24"/>
          <w:szCs w:val="24"/>
        </w:rPr>
        <w:t>创面修复材料有效性评价 第1部分：</w:t>
      </w:r>
      <w:r>
        <w:rPr>
          <w:rFonts w:hint="eastAsia" w:ascii="宋体" w:hAnsi="宋体" w:eastAsia="宋体" w:cs="宋体"/>
          <w:b w:val="0"/>
          <w:bCs w:val="0"/>
          <w:sz w:val="24"/>
          <w:szCs w:val="24"/>
          <w:lang w:eastAsia="zh-CN"/>
        </w:rPr>
        <w:t>可溶性材料体外评价方法》</w:t>
      </w:r>
      <w:r>
        <w:rPr>
          <w:rFonts w:hint="eastAsia" w:ascii="Times New Roman" w:hAnsi="Times New Roman" w:eastAsia="宋体" w:cs="Times New Roman"/>
          <w:sz w:val="24"/>
          <w:lang w:val="en-US" w:eastAsia="zh-CN"/>
        </w:rPr>
        <w:t>检测</w:t>
      </w:r>
      <w:r>
        <w:rPr>
          <w:rFonts w:hint="eastAsia" w:ascii="Times New Roman" w:hAnsi="Times New Roman" w:eastAsia="宋体" w:cs="Times New Roman"/>
          <w:sz w:val="24"/>
        </w:rPr>
        <w:t>的</w:t>
      </w:r>
      <w:r>
        <w:rPr>
          <w:rFonts w:hint="eastAsia" w:ascii="Times New Roman" w:hAnsi="Times New Roman" w:eastAsia="宋体" w:cs="Times New Roman"/>
          <w:sz w:val="24"/>
          <w:lang w:val="en-US" w:eastAsia="zh-CN"/>
        </w:rPr>
        <w:t>科学</w:t>
      </w:r>
      <w:r>
        <w:rPr>
          <w:rFonts w:hint="eastAsia" w:ascii="Times New Roman" w:hAnsi="Times New Roman" w:eastAsia="宋体" w:cs="Times New Roman"/>
          <w:sz w:val="24"/>
        </w:rPr>
        <w:t>性和适用性。对</w:t>
      </w:r>
      <w:r>
        <w:rPr>
          <w:rFonts w:hint="eastAsia" w:ascii="Times New Roman" w:hAnsi="Times New Roman" w:eastAsia="宋体" w:cs="Times New Roman"/>
          <w:sz w:val="24"/>
          <w:lang w:val="en-US" w:eastAsia="zh-CN"/>
        </w:rPr>
        <w:t>各种</w:t>
      </w:r>
      <w:r>
        <w:rPr>
          <w:rFonts w:hint="eastAsia" w:ascii="Times New Roman" w:hAnsi="Times New Roman" w:eastAsia="宋体" w:cs="Times New Roman"/>
          <w:sz w:val="24"/>
          <w:lang w:eastAsia="zh-CN"/>
        </w:rPr>
        <w:t>《</w:t>
      </w:r>
      <w:r>
        <w:rPr>
          <w:rFonts w:hint="eastAsia" w:ascii="宋体" w:hAnsi="宋体" w:eastAsia="宋体" w:cs="宋体"/>
          <w:b w:val="0"/>
          <w:bCs w:val="0"/>
          <w:sz w:val="24"/>
          <w:szCs w:val="24"/>
        </w:rPr>
        <w:t>创面修复材料有效性评价 第1部分：</w:t>
      </w:r>
      <w:r>
        <w:rPr>
          <w:rFonts w:hint="eastAsia" w:ascii="宋体" w:hAnsi="宋体" w:eastAsia="宋体" w:cs="宋体"/>
          <w:b w:val="0"/>
          <w:bCs w:val="0"/>
          <w:sz w:val="24"/>
          <w:szCs w:val="24"/>
          <w:lang w:eastAsia="zh-CN"/>
        </w:rPr>
        <w:t>可溶性材料体外评价方法》</w:t>
      </w:r>
      <w:r>
        <w:rPr>
          <w:rFonts w:hint="eastAsia" w:ascii="Times New Roman" w:hAnsi="Times New Roman" w:eastAsia="宋体" w:cs="Times New Roman"/>
          <w:sz w:val="24"/>
          <w:lang w:val="en-US" w:eastAsia="zh-CN"/>
        </w:rPr>
        <w:t>检测技术方法</w:t>
      </w:r>
      <w:r>
        <w:rPr>
          <w:rFonts w:hint="eastAsia" w:ascii="Times New Roman" w:hAnsi="Times New Roman" w:eastAsia="宋体" w:cs="Times New Roman"/>
          <w:sz w:val="24"/>
        </w:rPr>
        <w:t>进行了解，结合资料分析和调研情况，对标准框架进行内部讨论，就标准的编制背景、标准框架、主要技术内容进行研讨，并从不同角度提出了具备科学性、实用性和可操作性的修改意见，形成标准草案。</w:t>
      </w:r>
    </w:p>
    <w:p>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标准起草工作组根据前期的工作情况，共同研究确定了标准征求意见稿，并形成标准编制说明，计划于</w:t>
      </w:r>
      <w:r>
        <w:rPr>
          <w:rFonts w:hint="eastAsia" w:ascii="Times New Roman" w:hAnsi="Times New Roman" w:eastAsia="宋体" w:cs="Times New Roman"/>
          <w:sz w:val="24"/>
          <w:lang w:val="en-US" w:eastAsia="zh-CN"/>
        </w:rPr>
        <w:t>2024年初</w:t>
      </w:r>
      <w:r>
        <w:rPr>
          <w:rFonts w:hint="eastAsia" w:ascii="Times New Roman" w:hAnsi="Times New Roman" w:eastAsia="宋体" w:cs="Times New Roman"/>
          <w:sz w:val="24"/>
        </w:rPr>
        <w:t>起通过网络平台、</w:t>
      </w:r>
      <w:r>
        <w:rPr>
          <w:rFonts w:hint="eastAsia" w:ascii="Times New Roman" w:hAnsi="Times New Roman" w:eastAsia="宋体" w:cs="Times New Roman"/>
          <w:sz w:val="24"/>
          <w:lang w:val="en-US" w:eastAsia="zh-CN"/>
        </w:rPr>
        <w:t>实验室检验机构</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医疗器械企业</w:t>
      </w:r>
      <w:r>
        <w:rPr>
          <w:rFonts w:hint="eastAsia" w:ascii="Times New Roman" w:hAnsi="Times New Roman" w:eastAsia="宋体" w:cs="Times New Roman"/>
          <w:sz w:val="24"/>
        </w:rPr>
        <w:t>等产业链相关方开展广泛征集意见。</w:t>
      </w:r>
    </w:p>
    <w:p>
      <w:pPr>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2 确定学会团体标准主要技术内容（如技术指标、参数等）</w:t>
      </w:r>
    </w:p>
    <w:p>
      <w:pPr>
        <w:snapToGrid w:val="0"/>
        <w:spacing w:line="360" w:lineRule="auto"/>
      </w:pPr>
      <w:r>
        <w:rPr>
          <w:rFonts w:ascii="Times New Roman" w:hAnsi="Times New Roman" w:eastAsia="宋体" w:cs="Times New Roman"/>
          <w:b/>
          <w:bCs/>
          <w:sz w:val="24"/>
          <w:szCs w:val="24"/>
        </w:rPr>
        <w:t xml:space="preserve">2.1 </w:t>
      </w:r>
      <w:r>
        <w:rPr>
          <w:rFonts w:hint="eastAsia" w:ascii="Times New Roman" w:hAnsi="Times New Roman" w:eastAsia="宋体" w:cs="Times New Roman"/>
          <w:b/>
          <w:bCs/>
          <w:sz w:val="24"/>
          <w:szCs w:val="24"/>
        </w:rPr>
        <w:t>本标准编制原则</w:t>
      </w:r>
    </w:p>
    <w:p>
      <w:pPr>
        <w:snapToGrid w:val="0"/>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2.1.1</w:t>
      </w:r>
      <w:r>
        <w:rPr>
          <w:rFonts w:hint="eastAsia" w:ascii="Times New Roman" w:hAnsi="Times New Roman" w:eastAsia="宋体" w:cs="Times New Roman"/>
          <w:sz w:val="24"/>
        </w:rPr>
        <w:t>适用性原则</w:t>
      </w:r>
    </w:p>
    <w:p>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标准中规定的要素立足当前</w:t>
      </w:r>
      <w:r>
        <w:rPr>
          <w:rFonts w:hint="eastAsia" w:ascii="宋体" w:hAnsi="宋体" w:eastAsia="宋体" w:cs="宋体"/>
          <w:b w:val="0"/>
          <w:bCs w:val="0"/>
          <w:sz w:val="24"/>
          <w:szCs w:val="24"/>
        </w:rPr>
        <w:t>创面修复材料有效性评价体外可溶性材料</w:t>
      </w:r>
      <w:r>
        <w:rPr>
          <w:rFonts w:hint="eastAsia" w:ascii="宋体" w:hAnsi="宋体" w:eastAsia="宋体" w:cs="宋体"/>
          <w:b w:val="0"/>
          <w:bCs w:val="0"/>
          <w:sz w:val="24"/>
          <w:szCs w:val="24"/>
          <w:lang w:val="en-US" w:eastAsia="zh-CN"/>
        </w:rPr>
        <w:t>尚无</w:t>
      </w:r>
      <w:r>
        <w:rPr>
          <w:rFonts w:hint="eastAsia" w:ascii="宋体" w:hAnsi="宋体" w:eastAsia="宋体" w:cs="宋体"/>
          <w:b w:val="0"/>
          <w:bCs w:val="0"/>
          <w:sz w:val="24"/>
          <w:szCs w:val="24"/>
          <w:lang w:eastAsia="zh-Hans"/>
        </w:rPr>
        <w:t>评价</w:t>
      </w:r>
      <w:r>
        <w:rPr>
          <w:rFonts w:hint="eastAsia" w:ascii="宋体" w:hAnsi="宋体" w:eastAsia="宋体" w:cs="宋体"/>
          <w:b w:val="0"/>
          <w:bCs w:val="0"/>
          <w:sz w:val="24"/>
          <w:szCs w:val="24"/>
          <w:lang w:val="en-US" w:eastAsia="zh-Hans"/>
        </w:rPr>
        <w:t>方</w:t>
      </w:r>
      <w:r>
        <w:rPr>
          <w:rFonts w:hint="eastAsia" w:ascii="宋体" w:hAnsi="宋体" w:eastAsia="宋体" w:cs="宋体"/>
          <w:b w:val="0"/>
          <w:bCs w:val="0"/>
          <w:sz w:val="24"/>
          <w:szCs w:val="24"/>
          <w:lang w:eastAsia="zh-Hans"/>
        </w:rPr>
        <w:t>法</w:t>
      </w:r>
      <w:r>
        <w:rPr>
          <w:rFonts w:hint="eastAsia" w:ascii="Times New Roman" w:hAnsi="Times New Roman" w:eastAsia="宋体" w:cs="Times New Roman"/>
          <w:sz w:val="24"/>
          <w:lang w:val="en-US" w:eastAsia="zh-CN"/>
        </w:rPr>
        <w:t>检测</w:t>
      </w:r>
      <w:r>
        <w:rPr>
          <w:rFonts w:hint="eastAsia" w:ascii="Times New Roman" w:hAnsi="Times New Roman" w:eastAsia="宋体" w:cs="Times New Roman"/>
          <w:sz w:val="24"/>
        </w:rPr>
        <w:t>技术</w:t>
      </w:r>
      <w:r>
        <w:rPr>
          <w:rFonts w:hint="eastAsia" w:ascii="Times New Roman" w:hAnsi="Times New Roman" w:eastAsia="宋体" w:cs="Times New Roman"/>
          <w:sz w:val="24"/>
          <w:lang w:val="en-US" w:eastAsia="zh-CN"/>
        </w:rPr>
        <w:t>的现状</w:t>
      </w:r>
      <w:r>
        <w:rPr>
          <w:rFonts w:hint="eastAsia" w:ascii="Times New Roman" w:hAnsi="Times New Roman" w:eastAsia="宋体" w:cs="Times New Roman"/>
          <w:sz w:val="24"/>
        </w:rPr>
        <w:t>，通过</w:t>
      </w:r>
      <w:r>
        <w:rPr>
          <w:rFonts w:hint="eastAsia" w:ascii="Times New Roman" w:hAnsi="Times New Roman" w:eastAsia="宋体" w:cs="Times New Roman"/>
          <w:sz w:val="24"/>
          <w:lang w:val="en-US" w:eastAsia="zh-CN"/>
        </w:rPr>
        <w:t>研究</w:t>
      </w:r>
      <w:r>
        <w:rPr>
          <w:rFonts w:hint="eastAsia" w:ascii="Times New Roman" w:hAnsi="Times New Roman" w:eastAsia="宋体" w:cs="Times New Roman"/>
          <w:sz w:val="24"/>
        </w:rPr>
        <w:t>规范技术，</w:t>
      </w:r>
      <w:r>
        <w:rPr>
          <w:rFonts w:hint="eastAsia" w:ascii="Times New Roman" w:hAnsi="Times New Roman" w:eastAsia="宋体" w:cs="Times New Roman"/>
          <w:sz w:val="24"/>
          <w:lang w:val="en-US" w:eastAsia="zh-CN"/>
        </w:rPr>
        <w:t>建立了</w:t>
      </w:r>
      <w:r>
        <w:rPr>
          <w:rFonts w:hint="eastAsia" w:ascii="Times New Roman" w:hAnsi="Times New Roman" w:eastAsia="宋体" w:cs="Times New Roman"/>
          <w:sz w:val="24"/>
          <w:lang w:eastAsia="zh-CN"/>
        </w:rPr>
        <w:t>《</w:t>
      </w:r>
      <w:r>
        <w:rPr>
          <w:rFonts w:hint="eastAsia" w:ascii="宋体" w:hAnsi="宋体" w:eastAsia="宋体" w:cs="宋体"/>
          <w:b w:val="0"/>
          <w:bCs w:val="0"/>
          <w:sz w:val="24"/>
          <w:szCs w:val="24"/>
        </w:rPr>
        <w:t>创面修复材料有效性评价 第1部分：</w:t>
      </w:r>
      <w:r>
        <w:rPr>
          <w:rFonts w:hint="eastAsia" w:ascii="宋体" w:hAnsi="宋体" w:eastAsia="宋体" w:cs="宋体"/>
          <w:b w:val="0"/>
          <w:bCs w:val="0"/>
          <w:sz w:val="24"/>
          <w:szCs w:val="24"/>
          <w:lang w:eastAsia="zh-CN"/>
        </w:rPr>
        <w:t>可溶性材料体外评价方法》</w:t>
      </w:r>
      <w:r>
        <w:rPr>
          <w:rFonts w:hint="eastAsia" w:ascii="宋体" w:hAnsi="宋体" w:eastAsia="宋体" w:cs="宋体"/>
          <w:b w:val="0"/>
          <w:bCs w:val="0"/>
          <w:sz w:val="24"/>
          <w:szCs w:val="24"/>
          <w:lang w:val="en-US" w:eastAsia="zh-CN"/>
        </w:rPr>
        <w:t>技术标准</w:t>
      </w:r>
      <w:r>
        <w:rPr>
          <w:rFonts w:hint="eastAsia" w:ascii="Times New Roman" w:hAnsi="Times New Roman" w:eastAsia="宋体" w:cs="Times New Roman"/>
          <w:sz w:val="24"/>
        </w:rPr>
        <w:t>，所规定的技术内容既符合国家政策及规范性文件要求，又满足实际，发挥标准能效。</w:t>
      </w:r>
    </w:p>
    <w:p>
      <w:pPr>
        <w:snapToGrid w:val="0"/>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2.1.2</w:t>
      </w:r>
      <w:r>
        <w:rPr>
          <w:rFonts w:hint="eastAsia" w:ascii="Times New Roman" w:hAnsi="Times New Roman" w:eastAsia="宋体" w:cs="Times New Roman"/>
          <w:sz w:val="24"/>
        </w:rPr>
        <w:t>先进性原则</w:t>
      </w:r>
    </w:p>
    <w:p>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目前通过标准查询，未有《</w:t>
      </w:r>
      <w:r>
        <w:rPr>
          <w:rFonts w:hint="eastAsia" w:ascii="宋体" w:hAnsi="宋体" w:eastAsia="宋体" w:cs="宋体"/>
          <w:b w:val="0"/>
          <w:bCs w:val="0"/>
          <w:sz w:val="24"/>
          <w:szCs w:val="24"/>
        </w:rPr>
        <w:t>创面修复材料有效性评价 第1部分：</w:t>
      </w:r>
      <w:r>
        <w:rPr>
          <w:rFonts w:hint="eastAsia" w:ascii="宋体" w:hAnsi="宋体" w:eastAsia="宋体" w:cs="宋体"/>
          <w:b w:val="0"/>
          <w:bCs w:val="0"/>
          <w:sz w:val="24"/>
          <w:szCs w:val="24"/>
          <w:lang w:eastAsia="zh-CN"/>
        </w:rPr>
        <w:t>可溶性材料体外评价方法》</w:t>
      </w:r>
      <w:r>
        <w:rPr>
          <w:rFonts w:hint="eastAsia" w:ascii="Times New Roman" w:hAnsi="Times New Roman" w:eastAsia="宋体" w:cs="Times New Roman"/>
          <w:sz w:val="24"/>
          <w:lang w:val="en-US" w:eastAsia="zh-CN"/>
        </w:rPr>
        <w:t>标准，标准编制组</w:t>
      </w:r>
      <w:r>
        <w:rPr>
          <w:rFonts w:hint="eastAsia" w:ascii="Times New Roman" w:hAnsi="Times New Roman" w:eastAsia="宋体" w:cs="Times New Roman"/>
          <w:sz w:val="24"/>
        </w:rPr>
        <w:t>在总结评价</w:t>
      </w:r>
      <w:r>
        <w:rPr>
          <w:rFonts w:hint="eastAsia" w:ascii="Times New Roman" w:hAnsi="Times New Roman" w:eastAsia="宋体" w:cs="Times New Roman"/>
          <w:sz w:val="24"/>
          <w:lang w:val="en-US" w:eastAsia="zh-CN"/>
        </w:rPr>
        <w:t>创面修复材料检测</w:t>
      </w:r>
      <w:r>
        <w:rPr>
          <w:rFonts w:hint="eastAsia" w:ascii="Times New Roman" w:hAnsi="Times New Roman" w:eastAsia="宋体" w:cs="Times New Roman"/>
          <w:sz w:val="24"/>
        </w:rPr>
        <w:t>技术所取得的经验和存在问题的基础上，进行充分的研究、调研和论证，确定标准的主要内容，使得此项工作在行业中领先，并值得借鉴和推广。</w:t>
      </w:r>
    </w:p>
    <w:p>
      <w:pPr>
        <w:snapToGrid w:val="0"/>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2.1.3</w:t>
      </w:r>
      <w:r>
        <w:rPr>
          <w:rFonts w:hint="eastAsia" w:ascii="Times New Roman" w:hAnsi="Times New Roman" w:eastAsia="宋体" w:cs="Times New Roman"/>
          <w:sz w:val="24"/>
        </w:rPr>
        <w:t>统一性原则</w:t>
      </w:r>
    </w:p>
    <w:p>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一方面符合国家及行业出台的法律法规、政策文件要求，另一方面充分借鉴工作经验，</w:t>
      </w:r>
      <w:r>
        <w:rPr>
          <w:rFonts w:hint="eastAsia" w:ascii="Times New Roman" w:hAnsi="Times New Roman" w:eastAsia="宋体" w:cs="Times New Roman"/>
          <w:sz w:val="24"/>
          <w:lang w:val="en-US" w:eastAsia="zh-CN"/>
        </w:rPr>
        <w:t>总结不同检测步骤的异同，</w:t>
      </w:r>
      <w:r>
        <w:rPr>
          <w:rFonts w:hint="eastAsia" w:ascii="Times New Roman" w:hAnsi="Times New Roman" w:eastAsia="宋体" w:cs="Times New Roman"/>
          <w:sz w:val="24"/>
        </w:rPr>
        <w:t>在此基础上对原有工作不断改进提升，使标准更加规范。</w:t>
      </w:r>
    </w:p>
    <w:p>
      <w:pPr>
        <w:snapToGrid w:val="0"/>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2.1.4</w:t>
      </w:r>
      <w:r>
        <w:rPr>
          <w:rFonts w:hint="eastAsia" w:ascii="Times New Roman" w:hAnsi="Times New Roman" w:eastAsia="宋体" w:cs="Times New Roman"/>
          <w:sz w:val="24"/>
        </w:rPr>
        <w:t>规范性原则</w:t>
      </w:r>
    </w:p>
    <w:p>
      <w:pPr>
        <w:snapToGrid w:val="0"/>
        <w:spacing w:line="360" w:lineRule="auto"/>
        <w:ind w:firstLine="480" w:firstLineChars="200"/>
        <w:rPr>
          <w:rFonts w:hint="eastAsia" w:ascii="Times New Roman" w:hAnsi="Times New Roman" w:eastAsia="宋体" w:cs="Times New Roman"/>
          <w:sz w:val="24"/>
          <w:lang w:eastAsia="zh-CN"/>
        </w:rPr>
      </w:pPr>
      <w:r>
        <w:rPr>
          <w:rFonts w:hint="eastAsia" w:ascii="Times New Roman" w:hAnsi="Times New Roman" w:eastAsia="宋体" w:cs="Times New Roman"/>
          <w:sz w:val="24"/>
        </w:rPr>
        <w:t>召开标准编写研讨会，专家及相关人员就标准的框架、结构、内容广泛讨论，发表意见。标准的格式和语言表述符合GB/T 1.1</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2020 的要求，确保标准内容的规范</w:t>
      </w:r>
      <w:r>
        <w:rPr>
          <w:rFonts w:hint="eastAsia" w:ascii="Times New Roman" w:hAnsi="Times New Roman" w:eastAsia="宋体" w:cs="Times New Roman"/>
          <w:sz w:val="24"/>
          <w:lang w:eastAsia="zh-CN"/>
        </w:rPr>
        <w:t>。</w:t>
      </w:r>
    </w:p>
    <w:p>
      <w:pPr>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坚持适用性和有效性为准则，标准的编制不低于目前国内相关行业标准规定的限量指标，严格遵循</w:t>
      </w:r>
      <w:r>
        <w:rPr>
          <w:rFonts w:ascii="Times New Roman" w:hAnsi="Times New Roman" w:eastAsia="宋体" w:cs="Times New Roman"/>
          <w:sz w:val="24"/>
        </w:rPr>
        <w:t>GB/T 1.1</w:t>
      </w:r>
      <w:r>
        <w:rPr>
          <w:rFonts w:hint="eastAsia" w:ascii="Times New Roman" w:hAnsi="Times New Roman" w:eastAsia="宋体" w:cs="Times New Roman"/>
          <w:sz w:val="24"/>
          <w:lang w:eastAsia="zh-CN"/>
        </w:rPr>
        <w:t>—</w:t>
      </w:r>
      <w:r>
        <w:rPr>
          <w:rFonts w:ascii="Times New Roman" w:hAnsi="Times New Roman" w:eastAsia="宋体" w:cs="Times New Roman"/>
          <w:sz w:val="24"/>
        </w:rPr>
        <w:t>2020</w:t>
      </w:r>
      <w:r>
        <w:rPr>
          <w:rFonts w:hint="eastAsia" w:ascii="Times New Roman" w:hAnsi="Times New Roman" w:eastAsia="宋体" w:cs="Times New Roman"/>
          <w:sz w:val="24"/>
        </w:rPr>
        <w:t>的要求进行编制，并且结合当前行业发展现状与特点，提高标准贯彻实施的实用性和可操作性。</w:t>
      </w:r>
    </w:p>
    <w:p>
      <w:pPr>
        <w:snapToGrid w:val="0"/>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w:t>
      </w:r>
      <w:r>
        <w:rPr>
          <w:rFonts w:ascii="Times New Roman" w:hAnsi="Times New Roman" w:eastAsia="宋体" w:cs="Times New Roman"/>
          <w:b/>
          <w:bCs/>
          <w:sz w:val="24"/>
          <w:szCs w:val="24"/>
        </w:rPr>
        <w:t xml:space="preserve">.2 </w:t>
      </w:r>
      <w:r>
        <w:rPr>
          <w:rFonts w:hint="eastAsia" w:ascii="Times New Roman" w:hAnsi="Times New Roman" w:eastAsia="宋体" w:cs="Times New Roman"/>
          <w:b/>
          <w:bCs/>
          <w:sz w:val="24"/>
          <w:szCs w:val="24"/>
        </w:rPr>
        <w:t>本标准主要内容</w:t>
      </w:r>
    </w:p>
    <w:p>
      <w:pPr>
        <w:pStyle w:val="29"/>
        <w:spacing w:before="312" w:after="312"/>
        <w:ind w:left="0"/>
        <w:rPr>
          <w:rFonts w:hint="eastAsia" w:ascii="宋体" w:hAnsi="宋体" w:eastAsia="宋体" w:cs="宋体"/>
          <w:b/>
          <w:bCs/>
          <w:sz w:val="24"/>
          <w:szCs w:val="24"/>
        </w:rPr>
      </w:pPr>
      <w:bookmarkStart w:id="1" w:name="_Toc354142268"/>
      <w:bookmarkStart w:id="2" w:name="_Toc354142463"/>
      <w:bookmarkStart w:id="3" w:name="_Toc338060634"/>
      <w:bookmarkStart w:id="4" w:name="_Toc358964228"/>
      <w:bookmarkStart w:id="5" w:name="_Toc338604799"/>
      <w:bookmarkStart w:id="6" w:name="_Toc343596937"/>
      <w:bookmarkStart w:id="7" w:name="_Toc342589524"/>
      <w:bookmarkStart w:id="8" w:name="_Toc398301038"/>
      <w:bookmarkStart w:id="9" w:name="_Toc374444821"/>
      <w:bookmarkStart w:id="10" w:name="_Toc340491279"/>
      <w:bookmarkStart w:id="11" w:name="_Toc338685858"/>
      <w:bookmarkStart w:id="12" w:name="_Toc354142628"/>
      <w:bookmarkStart w:id="13" w:name="_Toc428177672"/>
      <w:bookmarkStart w:id="14" w:name="_Toc338754585"/>
      <w:bookmarkStart w:id="15" w:name="_Toc60732099"/>
      <w:bookmarkStart w:id="16" w:name="_Toc342665738"/>
      <w:bookmarkStart w:id="17" w:name="_Toc338060691"/>
      <w:r>
        <w:rPr>
          <w:rFonts w:hint="eastAsia" w:ascii="宋体" w:hAnsi="宋体" w:eastAsia="宋体" w:cs="宋体"/>
          <w:b/>
          <w:bCs/>
          <w:sz w:val="24"/>
          <w:szCs w:val="24"/>
        </w:rPr>
        <w:t>范围</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pPr>
        <w:pStyle w:val="22"/>
        <w:keepNext w:val="0"/>
        <w:keepLines w:val="0"/>
        <w:pageBreakBefore w:val="0"/>
        <w:widowControl/>
        <w:kinsoku/>
        <w:wordWrap/>
        <w:overflowPunct/>
        <w:topLinePunct w:val="0"/>
        <w:autoSpaceDE w:val="0"/>
        <w:autoSpaceDN w:val="0"/>
        <w:bidi w:val="0"/>
        <w:adjustRightInd/>
        <w:snapToGrid/>
        <w:spacing w:line="360" w:lineRule="auto"/>
        <w:ind w:left="0" w:leftChars="0" w:firstLine="480" w:firstLineChars="200"/>
        <w:textAlignment w:val="auto"/>
        <w:rPr>
          <w:rFonts w:hint="eastAsia" w:ascii="宋体" w:hAnsi="宋体" w:eastAsia="宋体" w:cs="宋体"/>
          <w:sz w:val="24"/>
          <w:szCs w:val="24"/>
          <w:lang w:eastAsia="zh-Hans"/>
        </w:rPr>
      </w:pPr>
      <w:bookmarkStart w:id="18" w:name="_Toc358964229"/>
      <w:bookmarkStart w:id="19" w:name="_Toc374444822"/>
      <w:bookmarkStart w:id="20" w:name="_Toc428177673"/>
      <w:bookmarkStart w:id="21" w:name="_Toc398301039"/>
      <w:bookmarkStart w:id="22" w:name="_Toc354142269"/>
      <w:bookmarkStart w:id="23" w:name="_Toc354142629"/>
      <w:bookmarkStart w:id="24" w:name="_Toc354142464"/>
      <w:r>
        <w:rPr>
          <w:rFonts w:hint="eastAsia" w:ascii="宋体" w:hAnsi="宋体" w:eastAsia="宋体" w:cs="宋体"/>
          <w:sz w:val="24"/>
          <w:szCs w:val="24"/>
        </w:rPr>
        <w:t>本文件规定了</w:t>
      </w:r>
      <w:r>
        <w:rPr>
          <w:rFonts w:hint="eastAsia" w:ascii="宋体" w:hAnsi="宋体" w:eastAsia="宋体" w:cs="宋体"/>
          <w:sz w:val="24"/>
          <w:szCs w:val="24"/>
          <w:lang w:val="en-US" w:eastAsia="zh-Hans"/>
        </w:rPr>
        <w:t>用于创面修复材料的体外细胞增殖和迁移试验方法</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用于</w:t>
      </w:r>
      <w:r>
        <w:rPr>
          <w:rFonts w:hint="eastAsia" w:hAnsi="宋体" w:cs="宋体"/>
          <w:sz w:val="24"/>
          <w:szCs w:val="24"/>
          <w:lang w:val="en-US" w:eastAsia="zh-CN"/>
        </w:rPr>
        <w:t>可</w:t>
      </w:r>
      <w:r>
        <w:rPr>
          <w:rFonts w:hint="eastAsia" w:ascii="宋体" w:hAnsi="宋体" w:eastAsia="宋体" w:cs="宋体"/>
          <w:sz w:val="24"/>
          <w:szCs w:val="24"/>
          <w:lang w:val="en-US" w:eastAsia="zh-Hans"/>
        </w:rPr>
        <w:t>溶性生物材料的促进创面细胞增殖和迁移效果的评价</w:t>
      </w:r>
      <w:r>
        <w:rPr>
          <w:rFonts w:hint="eastAsia" w:ascii="宋体" w:hAnsi="宋体" w:eastAsia="宋体" w:cs="宋体"/>
          <w:sz w:val="24"/>
          <w:szCs w:val="24"/>
          <w:lang w:eastAsia="zh-Hans"/>
        </w:rPr>
        <w:t>。</w:t>
      </w:r>
    </w:p>
    <w:p>
      <w:pPr>
        <w:pStyle w:val="22"/>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Hans"/>
        </w:rPr>
      </w:pPr>
      <w:r>
        <w:rPr>
          <w:rFonts w:hint="eastAsia" w:ascii="宋体" w:hAnsi="宋体" w:eastAsia="宋体" w:cs="宋体"/>
          <w:sz w:val="24"/>
          <w:szCs w:val="24"/>
        </w:rPr>
        <w:t>本文件适用于</w:t>
      </w:r>
      <w:r>
        <w:rPr>
          <w:rFonts w:hint="eastAsia" w:ascii="宋体" w:hAnsi="宋体" w:eastAsia="宋体" w:cs="宋体"/>
          <w:sz w:val="24"/>
          <w:szCs w:val="24"/>
          <w:lang w:val="en-US" w:eastAsia="zh-Hans"/>
        </w:rPr>
        <w:t>用于创面愈合的</w:t>
      </w:r>
      <w:r>
        <w:rPr>
          <w:rFonts w:hint="eastAsia" w:hAnsi="宋体" w:cs="宋体"/>
          <w:sz w:val="24"/>
          <w:szCs w:val="24"/>
          <w:lang w:val="en-US" w:eastAsia="zh-CN"/>
        </w:rPr>
        <w:t>可</w:t>
      </w:r>
      <w:r>
        <w:rPr>
          <w:rFonts w:hint="eastAsia" w:ascii="宋体" w:hAnsi="宋体" w:eastAsia="宋体" w:cs="宋体"/>
          <w:sz w:val="24"/>
          <w:szCs w:val="24"/>
          <w:lang w:val="en-US" w:eastAsia="zh-Hans"/>
        </w:rPr>
        <w:t>溶性生物材料促进创面细胞增殖和愈合的有效浓度的确定</w:t>
      </w:r>
      <w:r>
        <w:rPr>
          <w:rFonts w:hint="eastAsia" w:ascii="宋体" w:hAnsi="宋体" w:eastAsia="宋体" w:cs="宋体"/>
          <w:sz w:val="24"/>
          <w:szCs w:val="24"/>
          <w:lang w:eastAsia="zh-Hans"/>
        </w:rPr>
        <w:t>。</w:t>
      </w:r>
    </w:p>
    <w:p>
      <w:pPr>
        <w:pStyle w:val="22"/>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本文件不适</w:t>
      </w:r>
      <w:r>
        <w:rPr>
          <w:rFonts w:hint="eastAsia" w:ascii="宋体" w:hAnsi="宋体" w:eastAsia="宋体" w:cs="宋体"/>
          <w:sz w:val="24"/>
          <w:szCs w:val="24"/>
          <w:lang w:val="en-US" w:eastAsia="zh-Hans"/>
        </w:rPr>
        <w:t>于</w:t>
      </w:r>
      <w:r>
        <w:rPr>
          <w:rFonts w:hint="eastAsia" w:ascii="宋体" w:hAnsi="宋体" w:eastAsia="宋体" w:cs="宋体"/>
          <w:sz w:val="24"/>
          <w:szCs w:val="24"/>
        </w:rPr>
        <w:t>用</w:t>
      </w:r>
      <w:r>
        <w:rPr>
          <w:rFonts w:hint="eastAsia" w:ascii="宋体" w:hAnsi="宋体" w:eastAsia="宋体" w:cs="宋体"/>
          <w:sz w:val="24"/>
          <w:szCs w:val="24"/>
          <w:lang w:val="en-US" w:eastAsia="zh-Hans"/>
        </w:rPr>
        <w:t>于创面愈合的非</w:t>
      </w:r>
      <w:r>
        <w:rPr>
          <w:rFonts w:hint="eastAsia" w:hAnsi="宋体" w:cs="宋体"/>
          <w:sz w:val="24"/>
          <w:szCs w:val="24"/>
          <w:lang w:val="en-US" w:eastAsia="zh-CN"/>
        </w:rPr>
        <w:t>可</w:t>
      </w:r>
      <w:r>
        <w:rPr>
          <w:rFonts w:hint="eastAsia" w:ascii="宋体" w:hAnsi="宋体" w:eastAsia="宋体" w:cs="宋体"/>
          <w:sz w:val="24"/>
          <w:szCs w:val="24"/>
          <w:lang w:val="en-US" w:eastAsia="zh-Hans"/>
        </w:rPr>
        <w:t>溶性生物材料</w:t>
      </w:r>
      <w:r>
        <w:rPr>
          <w:rFonts w:hint="eastAsia" w:ascii="宋体" w:hAnsi="宋体" w:eastAsia="宋体" w:cs="宋体"/>
          <w:sz w:val="24"/>
          <w:szCs w:val="24"/>
          <w:lang w:eastAsia="zh-Hans"/>
        </w:rPr>
        <w:t>。</w:t>
      </w:r>
    </w:p>
    <w:p>
      <w:pPr>
        <w:pStyle w:val="29"/>
        <w:spacing w:before="312" w:after="312"/>
        <w:ind w:left="0"/>
        <w:rPr>
          <w:rFonts w:hint="eastAsia" w:ascii="宋体" w:hAnsi="宋体" w:eastAsia="宋体" w:cs="宋体"/>
          <w:b/>
          <w:bCs/>
          <w:sz w:val="24"/>
          <w:szCs w:val="24"/>
        </w:rPr>
      </w:pPr>
      <w:bookmarkStart w:id="25" w:name="_Toc60732100"/>
      <w:r>
        <w:rPr>
          <w:rFonts w:hint="eastAsia" w:ascii="宋体" w:hAnsi="宋体" w:eastAsia="宋体" w:cs="宋体"/>
          <w:b/>
          <w:bCs/>
          <w:sz w:val="24"/>
          <w:szCs w:val="24"/>
        </w:rPr>
        <w:t>规范性引用文件</w:t>
      </w:r>
      <w:bookmarkEnd w:id="18"/>
      <w:bookmarkEnd w:id="19"/>
      <w:bookmarkEnd w:id="20"/>
      <w:bookmarkEnd w:id="21"/>
      <w:bookmarkEnd w:id="22"/>
      <w:bookmarkEnd w:id="23"/>
      <w:bookmarkEnd w:id="24"/>
      <w:bookmarkEnd w:id="25"/>
    </w:p>
    <w:p>
      <w:pPr>
        <w:pStyle w:val="22"/>
        <w:keepNext w:val="0"/>
        <w:keepLines w:val="0"/>
        <w:pageBreakBefore w:val="0"/>
        <w:widowControl/>
        <w:kinsoku/>
        <w:wordWrap/>
        <w:overflowPunct/>
        <w:topLinePunct w:val="0"/>
        <w:autoSpaceDE w:val="0"/>
        <w:autoSpaceDN w:val="0"/>
        <w:bidi w:val="0"/>
        <w:adjustRightInd/>
        <w:snapToGrid/>
        <w:spacing w:line="360" w:lineRule="auto"/>
        <w:textAlignment w:val="auto"/>
        <w:rPr>
          <w:rStyle w:val="15"/>
          <w:rFonts w:hint="eastAsia" w:ascii="宋体" w:hAnsi="宋体" w:eastAsia="宋体" w:cs="宋体"/>
          <w:b w:val="0"/>
          <w:bCs w:val="0"/>
          <w:sz w:val="24"/>
          <w:szCs w:val="24"/>
          <w:lang w:val="en-US" w:eastAsia="zh-Hans"/>
        </w:rPr>
      </w:pPr>
      <w:r>
        <w:rPr>
          <w:rStyle w:val="15"/>
          <w:rFonts w:hint="eastAsia" w:ascii="宋体" w:hAnsi="宋体" w:eastAsia="宋体" w:cs="宋体"/>
          <w:b w:val="0"/>
          <w:bCs w:val="0"/>
          <w:sz w:val="24"/>
          <w:szCs w:val="24"/>
          <w:lang w:val="en-US" w:eastAsia="zh-Hans"/>
        </w:rPr>
        <w:t>GB/T16886.5</w:t>
      </w:r>
      <w:r>
        <w:rPr>
          <w:rStyle w:val="15"/>
          <w:rFonts w:hint="eastAsia" w:ascii="宋体" w:hAnsi="宋体" w:eastAsia="宋体" w:cs="宋体"/>
          <w:b w:val="0"/>
          <w:bCs w:val="0"/>
          <w:sz w:val="24"/>
          <w:szCs w:val="24"/>
          <w:lang w:eastAsia="zh-Hans"/>
        </w:rPr>
        <w:t xml:space="preserve">-2017 </w:t>
      </w:r>
      <w:r>
        <w:rPr>
          <w:rStyle w:val="15"/>
          <w:rFonts w:hint="eastAsia" w:ascii="宋体" w:hAnsi="宋体" w:eastAsia="宋体" w:cs="宋体"/>
          <w:b w:val="0"/>
          <w:bCs w:val="0"/>
          <w:sz w:val="24"/>
          <w:szCs w:val="24"/>
          <w:lang w:val="en-US" w:eastAsia="zh-Hans"/>
        </w:rPr>
        <w:t>医疗器械生物学评价</w:t>
      </w:r>
      <w:r>
        <w:rPr>
          <w:rStyle w:val="15"/>
          <w:rFonts w:hint="eastAsia" w:ascii="宋体" w:hAnsi="宋体" w:eastAsia="宋体" w:cs="宋体"/>
          <w:b w:val="0"/>
          <w:bCs w:val="0"/>
          <w:sz w:val="24"/>
          <w:szCs w:val="24"/>
          <w:lang w:eastAsia="zh-Hans"/>
        </w:rPr>
        <w:t xml:space="preserve"> </w:t>
      </w:r>
      <w:r>
        <w:rPr>
          <w:rStyle w:val="15"/>
          <w:rFonts w:hint="eastAsia" w:ascii="宋体" w:hAnsi="宋体" w:eastAsia="宋体" w:cs="宋体"/>
          <w:b w:val="0"/>
          <w:bCs w:val="0"/>
          <w:sz w:val="24"/>
          <w:szCs w:val="24"/>
          <w:lang w:val="en-US" w:eastAsia="zh-Hans"/>
        </w:rPr>
        <w:t>第</w:t>
      </w:r>
      <w:r>
        <w:rPr>
          <w:rStyle w:val="15"/>
          <w:rFonts w:hint="eastAsia" w:ascii="宋体" w:hAnsi="宋体" w:eastAsia="宋体" w:cs="宋体"/>
          <w:b w:val="0"/>
          <w:bCs w:val="0"/>
          <w:sz w:val="24"/>
          <w:szCs w:val="24"/>
          <w:lang w:eastAsia="zh-Hans"/>
        </w:rPr>
        <w:t>5</w:t>
      </w:r>
      <w:r>
        <w:rPr>
          <w:rStyle w:val="15"/>
          <w:rFonts w:hint="eastAsia" w:ascii="宋体" w:hAnsi="宋体" w:eastAsia="宋体" w:cs="宋体"/>
          <w:b w:val="0"/>
          <w:bCs w:val="0"/>
          <w:sz w:val="24"/>
          <w:szCs w:val="24"/>
          <w:lang w:val="en-US" w:eastAsia="zh-Hans"/>
        </w:rPr>
        <w:t>部分</w:t>
      </w:r>
      <w:r>
        <w:rPr>
          <w:rStyle w:val="15"/>
          <w:rFonts w:hint="eastAsia" w:ascii="宋体" w:hAnsi="宋体" w:eastAsia="宋体" w:cs="宋体"/>
          <w:b w:val="0"/>
          <w:bCs w:val="0"/>
          <w:sz w:val="24"/>
          <w:szCs w:val="24"/>
          <w:lang w:eastAsia="zh-Hans"/>
        </w:rPr>
        <w:t>：</w:t>
      </w:r>
      <w:r>
        <w:rPr>
          <w:rStyle w:val="15"/>
          <w:rFonts w:hint="eastAsia" w:ascii="宋体" w:hAnsi="宋体" w:eastAsia="宋体" w:cs="宋体"/>
          <w:b w:val="0"/>
          <w:bCs w:val="0"/>
          <w:sz w:val="24"/>
          <w:szCs w:val="24"/>
          <w:lang w:val="en-US" w:eastAsia="zh-Hans"/>
        </w:rPr>
        <w:t>体外细胞毒性试验</w:t>
      </w:r>
    </w:p>
    <w:p>
      <w:pPr>
        <w:pStyle w:val="22"/>
        <w:keepNext w:val="0"/>
        <w:keepLines w:val="0"/>
        <w:pageBreakBefore w:val="0"/>
        <w:widowControl/>
        <w:kinsoku/>
        <w:wordWrap/>
        <w:overflowPunct/>
        <w:topLinePunct w:val="0"/>
        <w:autoSpaceDE w:val="0"/>
        <w:autoSpaceDN w:val="0"/>
        <w:bidi w:val="0"/>
        <w:adjustRightInd/>
        <w:snapToGrid/>
        <w:spacing w:line="360" w:lineRule="auto"/>
        <w:textAlignment w:val="auto"/>
        <w:rPr>
          <w:rStyle w:val="15"/>
          <w:rFonts w:hint="default" w:ascii="宋体" w:hAnsi="宋体" w:eastAsia="宋体" w:cs="宋体"/>
          <w:b w:val="0"/>
          <w:bCs w:val="0"/>
          <w:sz w:val="24"/>
          <w:szCs w:val="24"/>
          <w:lang w:val="en-US" w:eastAsia="zh-CN"/>
        </w:rPr>
      </w:pPr>
      <w:r>
        <w:rPr>
          <w:rStyle w:val="15"/>
          <w:rFonts w:hint="eastAsia" w:hAnsi="宋体" w:cs="宋体"/>
          <w:b w:val="0"/>
          <w:bCs w:val="0"/>
          <w:sz w:val="24"/>
          <w:szCs w:val="24"/>
          <w:lang w:val="en-US" w:eastAsia="zh-CN"/>
        </w:rPr>
        <w:t>GB/T16886.12-2017 医疗器械生物学评价 第12部分：样品制备与参照样品</w:t>
      </w:r>
    </w:p>
    <w:p>
      <w:pPr>
        <w:pStyle w:val="29"/>
        <w:spacing w:before="312" w:after="312"/>
        <w:ind w:left="0"/>
        <w:rPr>
          <w:rFonts w:hint="eastAsia" w:ascii="宋体" w:hAnsi="宋体" w:eastAsia="宋体" w:cs="宋体"/>
          <w:b/>
          <w:bCs/>
          <w:sz w:val="24"/>
          <w:szCs w:val="24"/>
        </w:rPr>
      </w:pPr>
      <w:bookmarkStart w:id="26" w:name="_Toc354142465"/>
      <w:bookmarkStart w:id="27" w:name="_Toc374444823"/>
      <w:bookmarkStart w:id="28" w:name="_Toc354142630"/>
      <w:bookmarkStart w:id="29" w:name="_Toc358964230"/>
      <w:bookmarkStart w:id="30" w:name="_Toc354142270"/>
      <w:bookmarkStart w:id="31" w:name="_Toc60732101"/>
      <w:bookmarkStart w:id="32" w:name="_Toc428177674"/>
      <w:bookmarkStart w:id="33" w:name="_Toc398301040"/>
      <w:r>
        <w:rPr>
          <w:rFonts w:hint="eastAsia" w:ascii="宋体" w:hAnsi="宋体" w:eastAsia="宋体" w:cs="宋体"/>
          <w:b/>
          <w:bCs/>
          <w:sz w:val="24"/>
          <w:szCs w:val="24"/>
        </w:rPr>
        <w:t>术语和定义</w:t>
      </w:r>
      <w:bookmarkEnd w:id="26"/>
      <w:bookmarkEnd w:id="27"/>
      <w:bookmarkEnd w:id="28"/>
      <w:bookmarkEnd w:id="29"/>
      <w:bookmarkEnd w:id="30"/>
      <w:bookmarkEnd w:id="31"/>
      <w:bookmarkEnd w:id="32"/>
      <w:bookmarkEnd w:id="33"/>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color w:val="444444"/>
          <w:spacing w:val="0"/>
          <w:kern w:val="0"/>
          <w:sz w:val="24"/>
          <w:szCs w:val="24"/>
          <w:u w:val="none"/>
          <w:shd w:val="clear" w:fill="FFFFFF"/>
          <w:lang w:val="en-US" w:eastAsia="zh-CN" w:bidi="ar"/>
        </w:rPr>
      </w:pPr>
      <w:bookmarkStart w:id="34" w:name="OLE_LINK5"/>
      <w:bookmarkStart w:id="35" w:name="OLE_LINK4"/>
      <w:r>
        <w:rPr>
          <w:rFonts w:hint="eastAsia" w:ascii="宋体" w:hAnsi="宋体" w:eastAsia="宋体" w:cs="宋体"/>
          <w:i w:val="0"/>
          <w:iCs w:val="0"/>
          <w:caps w:val="0"/>
          <w:color w:val="auto"/>
          <w:spacing w:val="0"/>
          <w:kern w:val="0"/>
          <w:sz w:val="24"/>
          <w:szCs w:val="24"/>
          <w:u w:val="none"/>
          <w:lang w:eastAsia="zh-CN" w:bidi="ar"/>
        </w:rPr>
        <w:t>3</w:t>
      </w:r>
      <w:r>
        <w:rPr>
          <w:rFonts w:hint="eastAsia" w:ascii="宋体" w:hAnsi="宋体" w:eastAsia="宋体" w:cs="宋体"/>
          <w:i w:val="0"/>
          <w:iCs w:val="0"/>
          <w:caps w:val="0"/>
          <w:color w:val="auto"/>
          <w:spacing w:val="0"/>
          <w:kern w:val="0"/>
          <w:sz w:val="24"/>
          <w:szCs w:val="24"/>
          <w:u w:val="none"/>
          <w:lang w:val="en-US" w:eastAsia="zh-Hans" w:bidi="ar"/>
        </w:rPr>
        <w:t>.</w:t>
      </w:r>
      <w:r>
        <w:rPr>
          <w:rFonts w:hint="eastAsia" w:ascii="宋体" w:hAnsi="宋体" w:eastAsia="宋体" w:cs="宋体"/>
          <w:i w:val="0"/>
          <w:iCs w:val="0"/>
          <w:caps w:val="0"/>
          <w:color w:val="auto"/>
          <w:spacing w:val="0"/>
          <w:kern w:val="0"/>
          <w:sz w:val="24"/>
          <w:szCs w:val="24"/>
          <w:u w:val="none"/>
          <w:lang w:eastAsia="zh-Hans" w:bidi="ar"/>
        </w:rPr>
        <w:t xml:space="preserve">1 </w:t>
      </w:r>
      <w:r>
        <w:rPr>
          <w:rFonts w:hint="eastAsia" w:ascii="宋体" w:hAnsi="宋体" w:eastAsia="宋体" w:cs="宋体"/>
          <w:i w:val="0"/>
          <w:iCs w:val="0"/>
          <w:caps w:val="0"/>
          <w:color w:val="auto"/>
          <w:spacing w:val="0"/>
          <w:kern w:val="0"/>
          <w:sz w:val="24"/>
          <w:szCs w:val="24"/>
          <w:u w:val="none"/>
          <w:lang w:val="en-US" w:eastAsia="zh-CN" w:bidi="ar"/>
        </w:rPr>
        <w:fldChar w:fldCharType="begin"/>
      </w:r>
      <w:r>
        <w:rPr>
          <w:rFonts w:hint="eastAsia" w:ascii="宋体" w:hAnsi="宋体" w:eastAsia="宋体" w:cs="宋体"/>
          <w:i w:val="0"/>
          <w:iCs w:val="0"/>
          <w:caps w:val="0"/>
          <w:color w:val="auto"/>
          <w:spacing w:val="0"/>
          <w:kern w:val="0"/>
          <w:sz w:val="24"/>
          <w:szCs w:val="24"/>
          <w:u w:val="none"/>
          <w:lang w:val="en-US" w:eastAsia="zh-CN" w:bidi="ar"/>
        </w:rPr>
        <w:instrText xml:space="preserve"> HYPERLINK "https://vibaike.com/133829/" \t "/Users/a001/Documents\\x/_blank" </w:instrText>
      </w:r>
      <w:r>
        <w:rPr>
          <w:rFonts w:hint="eastAsia" w:ascii="宋体" w:hAnsi="宋体" w:eastAsia="宋体" w:cs="宋体"/>
          <w:i w:val="0"/>
          <w:iCs w:val="0"/>
          <w:caps w:val="0"/>
          <w:color w:val="auto"/>
          <w:spacing w:val="0"/>
          <w:kern w:val="0"/>
          <w:sz w:val="24"/>
          <w:szCs w:val="24"/>
          <w:u w:val="none"/>
          <w:lang w:val="en-US" w:eastAsia="zh-CN" w:bidi="ar"/>
        </w:rPr>
        <w:fldChar w:fldCharType="separate"/>
      </w:r>
      <w:r>
        <w:rPr>
          <w:rStyle w:val="16"/>
          <w:rFonts w:hint="eastAsia" w:ascii="宋体" w:hAnsi="宋体" w:eastAsia="宋体" w:cs="宋体"/>
          <w:i w:val="0"/>
          <w:iCs w:val="0"/>
          <w:caps w:val="0"/>
          <w:color w:val="auto"/>
          <w:spacing w:val="0"/>
          <w:sz w:val="24"/>
          <w:szCs w:val="24"/>
          <w:u w:val="none"/>
        </w:rPr>
        <w:t>细胞增殖</w:t>
      </w:r>
      <w:r>
        <w:rPr>
          <w:rFonts w:hint="eastAsia" w:ascii="宋体" w:hAnsi="宋体" w:eastAsia="宋体" w:cs="宋体"/>
          <w:i w:val="0"/>
          <w:iCs w:val="0"/>
          <w:caps w:val="0"/>
          <w:color w:val="auto"/>
          <w:spacing w:val="0"/>
          <w:kern w:val="0"/>
          <w:sz w:val="24"/>
          <w:szCs w:val="24"/>
          <w:u w:val="none"/>
          <w:lang w:val="en-US" w:eastAsia="zh-CN" w:bidi="ar"/>
        </w:rPr>
        <w:fldChar w:fldCharType="end"/>
      </w:r>
      <w:r>
        <w:rPr>
          <w:rFonts w:hint="eastAsia" w:ascii="宋体" w:hAnsi="宋体" w:eastAsia="宋体" w:cs="宋体"/>
          <w:i w:val="0"/>
          <w:iCs w:val="0"/>
          <w:caps w:val="0"/>
          <w:color w:val="auto"/>
          <w:spacing w:val="0"/>
          <w:kern w:val="0"/>
          <w:sz w:val="24"/>
          <w:szCs w:val="24"/>
          <w:u w:val="none"/>
          <w:lang w:eastAsia="zh-CN" w:bidi="ar"/>
        </w:rPr>
        <w:t>（</w:t>
      </w:r>
      <w:r>
        <w:rPr>
          <w:rFonts w:hint="eastAsia" w:ascii="宋体" w:hAnsi="宋体" w:eastAsia="宋体" w:cs="宋体"/>
          <w:i w:val="0"/>
          <w:iCs w:val="0"/>
          <w:caps w:val="0"/>
          <w:color w:val="auto"/>
          <w:spacing w:val="0"/>
          <w:kern w:val="0"/>
          <w:sz w:val="24"/>
          <w:szCs w:val="24"/>
          <w:u w:val="none"/>
          <w:lang w:val="en-US" w:eastAsia="zh-Hans" w:bidi="ar"/>
        </w:rPr>
        <w:t>cell</w:t>
      </w:r>
      <w:r>
        <w:rPr>
          <w:rFonts w:hint="eastAsia" w:ascii="宋体" w:hAnsi="宋体" w:eastAsia="宋体" w:cs="宋体"/>
          <w:i w:val="0"/>
          <w:iCs w:val="0"/>
          <w:caps w:val="0"/>
          <w:color w:val="auto"/>
          <w:spacing w:val="0"/>
          <w:kern w:val="0"/>
          <w:sz w:val="24"/>
          <w:szCs w:val="24"/>
          <w:u w:val="none"/>
          <w:lang w:eastAsia="zh-Hans" w:bidi="ar"/>
        </w:rPr>
        <w:t xml:space="preserve"> proliferation)</w:t>
      </w:r>
      <w:r>
        <w:rPr>
          <w:rFonts w:hint="eastAsia" w:ascii="宋体" w:hAnsi="宋体" w:eastAsia="宋体" w:cs="宋体"/>
          <w:i w:val="0"/>
          <w:iCs w:val="0"/>
          <w:caps w:val="0"/>
          <w:color w:val="auto"/>
          <w:spacing w:val="0"/>
          <w:kern w:val="0"/>
          <w:sz w:val="24"/>
          <w:szCs w:val="24"/>
          <w:u w:val="none"/>
          <w:lang w:eastAsia="zh-CN" w:bidi="ar"/>
        </w:rPr>
        <w:t>：</w:t>
      </w:r>
      <w:r>
        <w:rPr>
          <w:rFonts w:hint="eastAsia" w:ascii="宋体" w:hAnsi="宋体" w:eastAsia="宋体" w:cs="宋体"/>
          <w:i w:val="0"/>
          <w:iCs w:val="0"/>
          <w:caps w:val="0"/>
          <w:color w:val="444444"/>
          <w:spacing w:val="0"/>
          <w:kern w:val="0"/>
          <w:sz w:val="24"/>
          <w:szCs w:val="24"/>
          <w:u w:val="none"/>
          <w:shd w:val="clear" w:fill="FFFFFF"/>
          <w:lang w:val="en-US" w:eastAsia="zh-CN" w:bidi="ar"/>
        </w:rPr>
        <w:t>是细胞生长和分裂产生两个子细胞的过程</w:t>
      </w:r>
      <w:r>
        <w:rPr>
          <w:rFonts w:hint="eastAsia" w:ascii="宋体" w:hAnsi="宋体" w:eastAsia="宋体" w:cs="宋体"/>
          <w:i w:val="0"/>
          <w:iCs w:val="0"/>
          <w:caps w:val="0"/>
          <w:color w:val="444444"/>
          <w:spacing w:val="0"/>
          <w:kern w:val="0"/>
          <w:sz w:val="24"/>
          <w:szCs w:val="24"/>
          <w:u w:val="none"/>
          <w:shd w:val="clear" w:fill="FFFFFF"/>
          <w:lang w:eastAsia="zh-CN" w:bidi="ar"/>
        </w:rPr>
        <w:t>，</w:t>
      </w:r>
      <w:r>
        <w:rPr>
          <w:rFonts w:hint="eastAsia" w:ascii="宋体" w:hAnsi="宋体" w:eastAsia="宋体" w:cs="宋体"/>
          <w:i w:val="0"/>
          <w:iCs w:val="0"/>
          <w:caps w:val="0"/>
          <w:color w:val="444444"/>
          <w:spacing w:val="0"/>
          <w:kern w:val="0"/>
          <w:sz w:val="24"/>
          <w:szCs w:val="24"/>
          <w:u w:val="none"/>
          <w:shd w:val="clear" w:fill="FFFFFF"/>
          <w:lang w:val="en-US" w:eastAsia="zh-CN" w:bidi="ar"/>
        </w:rPr>
        <w:t>细胞增殖导致细胞数量呈指数增长，因此</w:t>
      </w:r>
      <w:r>
        <w:rPr>
          <w:rFonts w:hint="eastAsia" w:ascii="宋体" w:hAnsi="宋体" w:eastAsia="宋体" w:cs="宋体"/>
          <w:i w:val="0"/>
          <w:iCs w:val="0"/>
          <w:caps w:val="0"/>
          <w:color w:val="444444"/>
          <w:spacing w:val="0"/>
          <w:kern w:val="0"/>
          <w:sz w:val="24"/>
          <w:szCs w:val="24"/>
          <w:u w:val="none"/>
          <w:shd w:val="clear" w:fill="FFFFFF"/>
          <w:lang w:val="en-US" w:eastAsia="zh-Hans" w:bidi="ar"/>
        </w:rPr>
        <w:t>细胞增殖</w:t>
      </w:r>
      <w:r>
        <w:rPr>
          <w:rFonts w:hint="eastAsia" w:ascii="宋体" w:hAnsi="宋体" w:eastAsia="宋体" w:cs="宋体"/>
          <w:i w:val="0"/>
          <w:iCs w:val="0"/>
          <w:caps w:val="0"/>
          <w:color w:val="444444"/>
          <w:spacing w:val="0"/>
          <w:kern w:val="0"/>
          <w:sz w:val="24"/>
          <w:szCs w:val="24"/>
          <w:u w:val="none"/>
          <w:shd w:val="clear" w:fill="FFFFFF"/>
          <w:lang w:val="en-US" w:eastAsia="zh-CN" w:bidi="ar"/>
        </w:rPr>
        <w:t>是组织</w:t>
      </w:r>
      <w:r>
        <w:rPr>
          <w:rFonts w:hint="eastAsia" w:ascii="宋体" w:hAnsi="宋体" w:eastAsia="宋体" w:cs="宋体"/>
          <w:i w:val="0"/>
          <w:iCs w:val="0"/>
          <w:caps w:val="0"/>
          <w:color w:val="444444"/>
          <w:spacing w:val="0"/>
          <w:kern w:val="0"/>
          <w:sz w:val="24"/>
          <w:szCs w:val="24"/>
          <w:u w:val="none"/>
          <w:shd w:val="clear" w:fill="FFFFFF"/>
          <w:lang w:val="en-US" w:eastAsia="zh-Hans" w:bidi="ar"/>
        </w:rPr>
        <w:t>修复过程中</w:t>
      </w:r>
      <w:r>
        <w:rPr>
          <w:rFonts w:hint="eastAsia" w:ascii="宋体" w:hAnsi="宋体" w:eastAsia="宋体" w:cs="宋体"/>
          <w:i w:val="0"/>
          <w:iCs w:val="0"/>
          <w:caps w:val="0"/>
          <w:color w:val="444444"/>
          <w:spacing w:val="0"/>
          <w:kern w:val="0"/>
          <w:sz w:val="24"/>
          <w:szCs w:val="24"/>
          <w:u w:val="none"/>
          <w:shd w:val="clear" w:fill="FFFFFF"/>
          <w:lang w:val="en-US" w:eastAsia="zh-CN" w:bidi="ar"/>
        </w:rPr>
        <w:t>的</w:t>
      </w:r>
      <w:r>
        <w:rPr>
          <w:rFonts w:hint="eastAsia" w:ascii="宋体" w:hAnsi="宋体" w:eastAsia="宋体" w:cs="宋体"/>
          <w:i w:val="0"/>
          <w:iCs w:val="0"/>
          <w:caps w:val="0"/>
          <w:color w:val="444444"/>
          <w:spacing w:val="0"/>
          <w:kern w:val="0"/>
          <w:sz w:val="24"/>
          <w:szCs w:val="24"/>
          <w:u w:val="none"/>
          <w:shd w:val="clear" w:fill="FFFFFF"/>
          <w:lang w:val="en-US" w:eastAsia="zh-Hans" w:bidi="ar"/>
        </w:rPr>
        <w:t>主要</w:t>
      </w:r>
      <w:r>
        <w:rPr>
          <w:rFonts w:hint="eastAsia" w:ascii="宋体" w:hAnsi="宋体" w:eastAsia="宋体" w:cs="宋体"/>
          <w:i w:val="0"/>
          <w:iCs w:val="0"/>
          <w:caps w:val="0"/>
          <w:color w:val="444444"/>
          <w:spacing w:val="0"/>
          <w:kern w:val="0"/>
          <w:sz w:val="24"/>
          <w:szCs w:val="24"/>
          <w:u w:val="none"/>
          <w:shd w:val="clear" w:fill="FFFFFF"/>
          <w:lang w:val="en-US" w:eastAsia="zh-CN" w:bidi="ar"/>
        </w:rPr>
        <w:t>机制。</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color w:val="333333"/>
          <w:spacing w:val="0"/>
          <w:kern w:val="0"/>
          <w:sz w:val="24"/>
          <w:szCs w:val="24"/>
          <w:u w:val="none"/>
          <w:shd w:val="clear" w:fill="FFFFFF"/>
          <w:lang w:eastAsia="zh-Hans" w:bidi="ar"/>
        </w:rPr>
      </w:pPr>
      <w:r>
        <w:rPr>
          <w:rFonts w:hint="eastAsia" w:ascii="宋体" w:hAnsi="宋体" w:eastAsia="宋体" w:cs="宋体"/>
          <w:i w:val="0"/>
          <w:iCs w:val="0"/>
          <w:caps w:val="0"/>
          <w:color w:val="444444"/>
          <w:spacing w:val="0"/>
          <w:kern w:val="0"/>
          <w:sz w:val="24"/>
          <w:szCs w:val="24"/>
          <w:u w:val="none"/>
          <w:shd w:val="clear" w:fill="FFFFFF"/>
          <w:lang w:eastAsia="zh-CN" w:bidi="ar"/>
        </w:rPr>
        <w:t>3</w:t>
      </w:r>
      <w:r>
        <w:rPr>
          <w:rFonts w:hint="eastAsia" w:ascii="宋体" w:hAnsi="宋体" w:eastAsia="宋体" w:cs="宋体"/>
          <w:i w:val="0"/>
          <w:iCs w:val="0"/>
          <w:caps w:val="0"/>
          <w:color w:val="444444"/>
          <w:spacing w:val="0"/>
          <w:kern w:val="0"/>
          <w:sz w:val="24"/>
          <w:szCs w:val="24"/>
          <w:u w:val="none"/>
          <w:shd w:val="clear" w:fill="FFFFFF"/>
          <w:lang w:val="en-US" w:eastAsia="zh-Hans" w:bidi="ar"/>
        </w:rPr>
        <w:t>.</w:t>
      </w:r>
      <w:r>
        <w:rPr>
          <w:rFonts w:hint="eastAsia" w:ascii="宋体" w:hAnsi="宋体" w:eastAsia="宋体" w:cs="宋体"/>
          <w:i w:val="0"/>
          <w:iCs w:val="0"/>
          <w:caps w:val="0"/>
          <w:color w:val="444444"/>
          <w:spacing w:val="0"/>
          <w:kern w:val="0"/>
          <w:sz w:val="24"/>
          <w:szCs w:val="24"/>
          <w:u w:val="none"/>
          <w:shd w:val="clear" w:fill="FFFFFF"/>
          <w:lang w:eastAsia="zh-Hans" w:bidi="ar"/>
        </w:rPr>
        <w:t xml:space="preserve">2 </w:t>
      </w:r>
      <w:r>
        <w:rPr>
          <w:rFonts w:hint="eastAsia" w:ascii="宋体" w:hAnsi="宋体" w:eastAsia="宋体" w:cs="宋体"/>
          <w:i w:val="0"/>
          <w:iCs w:val="0"/>
          <w:caps w:val="0"/>
          <w:color w:val="444444"/>
          <w:spacing w:val="0"/>
          <w:kern w:val="0"/>
          <w:sz w:val="24"/>
          <w:szCs w:val="24"/>
          <w:u w:val="none"/>
          <w:shd w:val="clear" w:fill="FFFFFF"/>
          <w:lang w:val="en-US" w:eastAsia="zh-Hans" w:bidi="ar"/>
        </w:rPr>
        <w:t>细胞迁移</w:t>
      </w:r>
      <w:r>
        <w:rPr>
          <w:rFonts w:hint="eastAsia" w:ascii="宋体" w:hAnsi="宋体" w:eastAsia="宋体" w:cs="宋体"/>
          <w:i w:val="0"/>
          <w:iCs w:val="0"/>
          <w:caps w:val="0"/>
          <w:color w:val="333333"/>
          <w:spacing w:val="0"/>
          <w:kern w:val="0"/>
          <w:sz w:val="24"/>
          <w:szCs w:val="24"/>
          <w:u w:val="none"/>
          <w:shd w:val="clear" w:fill="FFFFFF"/>
          <w:lang w:val="en-US" w:eastAsia="zh-CN" w:bidi="ar"/>
        </w:rPr>
        <w:t xml:space="preserve">(cell migration) </w:t>
      </w:r>
      <w:r>
        <w:rPr>
          <w:rFonts w:hint="eastAsia" w:ascii="宋体" w:hAnsi="宋体" w:eastAsia="宋体" w:cs="宋体"/>
          <w:i w:val="0"/>
          <w:iCs w:val="0"/>
          <w:caps w:val="0"/>
          <w:color w:val="333333"/>
          <w:spacing w:val="0"/>
          <w:kern w:val="0"/>
          <w:sz w:val="24"/>
          <w:szCs w:val="24"/>
          <w:u w:val="none"/>
          <w:shd w:val="clear" w:fill="FFFFFF"/>
          <w:lang w:eastAsia="zh-CN" w:bidi="ar"/>
        </w:rPr>
        <w:t>：</w:t>
      </w:r>
      <w:r>
        <w:rPr>
          <w:rFonts w:hint="eastAsia" w:ascii="宋体" w:hAnsi="宋体" w:eastAsia="宋体" w:cs="宋体"/>
          <w:i w:val="0"/>
          <w:iCs w:val="0"/>
          <w:caps w:val="0"/>
          <w:color w:val="333333"/>
          <w:spacing w:val="0"/>
          <w:kern w:val="0"/>
          <w:sz w:val="24"/>
          <w:szCs w:val="24"/>
          <w:u w:val="none"/>
          <w:shd w:val="clear" w:fill="FFFFFF"/>
          <w:lang w:val="en-US" w:eastAsia="zh-CN" w:bidi="ar"/>
        </w:rPr>
        <w:t>也称为细胞爬行、细胞移动或细胞运动，是指细胞在接收到迁移信号或感受到某些物质的梯度后而产生的移动。细胞迁移为细胞头部伪足的延伸、新的黏附建立、细胞体尾部收缩在时空上的交替过程。细胞迁移是正常细胞的基本功能之一，是机体正常生长发育的生理过程，也是活细胞普遍存在的一种运动形式。</w:t>
      </w:r>
      <w:r>
        <w:rPr>
          <w:rFonts w:hint="eastAsia" w:ascii="宋体" w:hAnsi="宋体" w:eastAsia="宋体" w:cs="宋体"/>
          <w:i w:val="0"/>
          <w:iCs w:val="0"/>
          <w:caps w:val="0"/>
          <w:color w:val="333333"/>
          <w:spacing w:val="0"/>
          <w:kern w:val="0"/>
          <w:sz w:val="24"/>
          <w:szCs w:val="24"/>
          <w:u w:val="none"/>
          <w:shd w:val="clear" w:fill="FFFFFF"/>
          <w:lang w:val="en-US" w:eastAsia="zh-Hans" w:bidi="ar"/>
        </w:rPr>
        <w:t>在创面愈合过程中也涉及到细胞迁移</w:t>
      </w:r>
      <w:r>
        <w:rPr>
          <w:rFonts w:hint="eastAsia" w:ascii="宋体" w:hAnsi="宋体" w:eastAsia="宋体" w:cs="宋体"/>
          <w:i w:val="0"/>
          <w:iCs w:val="0"/>
          <w:caps w:val="0"/>
          <w:color w:val="333333"/>
          <w:spacing w:val="0"/>
          <w:kern w:val="0"/>
          <w:sz w:val="24"/>
          <w:szCs w:val="24"/>
          <w:u w:val="none"/>
          <w:shd w:val="clear" w:fill="FFFFFF"/>
          <w:lang w:eastAsia="zh-Hans"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color w:val="333333"/>
          <w:spacing w:val="0"/>
          <w:kern w:val="0"/>
          <w:sz w:val="24"/>
          <w:szCs w:val="24"/>
          <w:u w:val="none"/>
          <w:shd w:val="clear" w:fill="FFFFFF"/>
          <w:lang w:eastAsia="zh-Hans" w:bidi="ar"/>
        </w:rPr>
      </w:pPr>
      <w:r>
        <w:rPr>
          <w:rFonts w:hint="eastAsia" w:ascii="宋体" w:hAnsi="宋体" w:eastAsia="宋体" w:cs="宋体"/>
          <w:i w:val="0"/>
          <w:iCs w:val="0"/>
          <w:caps w:val="0"/>
          <w:color w:val="333333"/>
          <w:spacing w:val="0"/>
          <w:kern w:val="0"/>
          <w:sz w:val="24"/>
          <w:szCs w:val="24"/>
          <w:u w:val="none"/>
          <w:shd w:val="clear" w:fill="FFFFFF"/>
          <w:lang w:eastAsia="zh-Hans" w:bidi="ar"/>
        </w:rPr>
        <w:t>3</w:t>
      </w:r>
      <w:r>
        <w:rPr>
          <w:rFonts w:hint="eastAsia" w:ascii="宋体" w:hAnsi="宋体" w:eastAsia="宋体" w:cs="宋体"/>
          <w:i w:val="0"/>
          <w:iCs w:val="0"/>
          <w:caps w:val="0"/>
          <w:color w:val="333333"/>
          <w:spacing w:val="0"/>
          <w:kern w:val="0"/>
          <w:sz w:val="24"/>
          <w:szCs w:val="24"/>
          <w:u w:val="none"/>
          <w:shd w:val="clear" w:fill="FFFFFF"/>
          <w:lang w:val="en-US" w:eastAsia="zh-Hans" w:bidi="ar"/>
        </w:rPr>
        <w:t>.</w:t>
      </w:r>
      <w:r>
        <w:rPr>
          <w:rFonts w:hint="eastAsia" w:ascii="宋体" w:hAnsi="宋体" w:eastAsia="宋体" w:cs="宋体"/>
          <w:i w:val="0"/>
          <w:iCs w:val="0"/>
          <w:caps w:val="0"/>
          <w:color w:val="333333"/>
          <w:spacing w:val="0"/>
          <w:kern w:val="0"/>
          <w:sz w:val="24"/>
          <w:szCs w:val="24"/>
          <w:u w:val="none"/>
          <w:shd w:val="clear" w:fill="FFFFFF"/>
          <w:lang w:eastAsia="zh-Hans" w:bidi="ar"/>
        </w:rPr>
        <w:t xml:space="preserve">3 </w:t>
      </w:r>
      <w:r>
        <w:rPr>
          <w:rFonts w:hint="eastAsia" w:ascii="宋体" w:hAnsi="宋体" w:eastAsia="宋体" w:cs="宋体"/>
          <w:i w:val="0"/>
          <w:iCs w:val="0"/>
          <w:caps w:val="0"/>
          <w:color w:val="333333"/>
          <w:spacing w:val="0"/>
          <w:kern w:val="0"/>
          <w:sz w:val="24"/>
          <w:szCs w:val="24"/>
          <w:u w:val="none"/>
          <w:shd w:val="clear" w:fill="FFFFFF"/>
          <w:lang w:val="en-US" w:eastAsia="zh-Hans" w:bidi="ar"/>
        </w:rPr>
        <w:t>可</w:t>
      </w:r>
      <w:r>
        <w:rPr>
          <w:rFonts w:hint="eastAsia" w:ascii="宋体" w:hAnsi="宋体" w:eastAsia="宋体" w:cs="宋体"/>
          <w:i w:val="0"/>
          <w:iCs w:val="0"/>
          <w:caps w:val="0"/>
          <w:color w:val="333333"/>
          <w:spacing w:val="0"/>
          <w:kern w:val="0"/>
          <w:sz w:val="24"/>
          <w:szCs w:val="24"/>
          <w:u w:val="none"/>
          <w:shd w:val="clear" w:fill="FFFFFF"/>
          <w:lang w:val="en-US" w:eastAsia="zh-CN" w:bidi="ar"/>
        </w:rPr>
        <w:t>溶性</w:t>
      </w:r>
      <w:r>
        <w:rPr>
          <w:rFonts w:hint="eastAsia" w:ascii="宋体" w:hAnsi="宋体" w:eastAsia="宋体" w:cs="宋体"/>
          <w:i w:val="0"/>
          <w:iCs w:val="0"/>
          <w:caps w:val="0"/>
          <w:color w:val="333333"/>
          <w:spacing w:val="0"/>
          <w:kern w:val="0"/>
          <w:sz w:val="24"/>
          <w:szCs w:val="24"/>
          <w:u w:val="none"/>
          <w:shd w:val="clear" w:fill="FFFFFF"/>
          <w:lang w:val="en-US" w:eastAsia="zh-Hans" w:bidi="ar"/>
        </w:rPr>
        <w:t>材料</w:t>
      </w:r>
      <w:r>
        <w:rPr>
          <w:rFonts w:hint="eastAsia" w:ascii="宋体" w:hAnsi="宋体" w:eastAsia="宋体" w:cs="宋体"/>
          <w:i w:val="0"/>
          <w:iCs w:val="0"/>
          <w:caps w:val="0"/>
          <w:color w:val="333333"/>
          <w:spacing w:val="0"/>
          <w:kern w:val="0"/>
          <w:sz w:val="24"/>
          <w:szCs w:val="24"/>
          <w:u w:val="none"/>
          <w:shd w:val="clear" w:fill="FFFFFF"/>
          <w:lang w:eastAsia="zh-Hans" w:bidi="ar"/>
        </w:rPr>
        <w:t>(soluble materials)：</w:t>
      </w:r>
      <w:r>
        <w:rPr>
          <w:rFonts w:hint="eastAsia" w:ascii="宋体" w:hAnsi="宋体" w:eastAsia="宋体" w:cs="宋体"/>
          <w:i w:val="0"/>
          <w:iCs w:val="0"/>
          <w:caps w:val="0"/>
          <w:color w:val="333333"/>
          <w:spacing w:val="0"/>
          <w:kern w:val="0"/>
          <w:sz w:val="24"/>
          <w:szCs w:val="24"/>
          <w:u w:val="none"/>
          <w:shd w:val="clear" w:fill="FFFFFF"/>
          <w:lang w:val="en-US" w:eastAsia="zh-CN" w:bidi="ar"/>
        </w:rPr>
        <w:t>是</w:t>
      </w:r>
      <w:r>
        <w:rPr>
          <w:rFonts w:hint="eastAsia" w:ascii="宋体" w:hAnsi="宋体" w:eastAsia="宋体" w:cs="宋体"/>
          <w:i w:val="0"/>
          <w:iCs w:val="0"/>
          <w:caps w:val="0"/>
          <w:color w:val="333333"/>
          <w:spacing w:val="0"/>
          <w:kern w:val="0"/>
          <w:sz w:val="24"/>
          <w:szCs w:val="24"/>
          <w:u w:val="none"/>
          <w:shd w:val="clear" w:fill="FFFFFF"/>
          <w:lang w:val="en-US" w:eastAsia="zh-Hans" w:bidi="ar"/>
        </w:rPr>
        <w:t>指</w:t>
      </w:r>
      <w:r>
        <w:rPr>
          <w:rFonts w:hint="eastAsia" w:ascii="宋体" w:hAnsi="宋体" w:eastAsia="宋体" w:cs="宋体"/>
          <w:i w:val="0"/>
          <w:iCs w:val="0"/>
          <w:caps w:val="0"/>
          <w:color w:val="333333"/>
          <w:spacing w:val="0"/>
          <w:kern w:val="0"/>
          <w:sz w:val="24"/>
          <w:szCs w:val="24"/>
          <w:u w:val="none"/>
          <w:shd w:val="clear" w:fill="FFFFFF"/>
          <w:lang w:val="en-US" w:eastAsia="zh-CN" w:bidi="ar"/>
        </w:rPr>
        <w:t>强亲水性的</w:t>
      </w:r>
      <w:r>
        <w:rPr>
          <w:rFonts w:hint="eastAsia" w:ascii="宋体" w:hAnsi="宋体" w:eastAsia="宋体" w:cs="宋体"/>
          <w:i w:val="0"/>
          <w:iCs w:val="0"/>
          <w:caps w:val="0"/>
          <w:color w:val="333333"/>
          <w:spacing w:val="0"/>
          <w:kern w:val="0"/>
          <w:sz w:val="24"/>
          <w:szCs w:val="24"/>
          <w:u w:val="none"/>
          <w:shd w:val="clear" w:fill="FFFFFF"/>
          <w:lang w:val="en-US" w:eastAsia="zh-Hans" w:bidi="ar"/>
        </w:rPr>
        <w:t>生物</w:t>
      </w:r>
      <w:r>
        <w:rPr>
          <w:rFonts w:hint="eastAsia" w:ascii="宋体" w:hAnsi="宋体" w:eastAsia="宋体" w:cs="宋体"/>
          <w:i w:val="0"/>
          <w:iCs w:val="0"/>
          <w:caps w:val="0"/>
          <w:color w:val="333333"/>
          <w:spacing w:val="0"/>
          <w:kern w:val="0"/>
          <w:sz w:val="24"/>
          <w:szCs w:val="24"/>
          <w:u w:val="none"/>
          <w:shd w:val="clear" w:fill="FFFFFF"/>
          <w:lang w:val="en-US" w:eastAsia="zh-CN" w:bidi="ar"/>
        </w:rPr>
        <w:t>材料，能溶解或溶胀于水中形成水溶液或</w:t>
      </w:r>
      <w:r>
        <w:rPr>
          <w:rFonts w:hint="eastAsia" w:ascii="宋体" w:hAnsi="宋体" w:eastAsia="宋体" w:cs="宋体"/>
          <w:i w:val="0"/>
          <w:iCs w:val="0"/>
          <w:caps w:val="0"/>
          <w:color w:val="333333"/>
          <w:spacing w:val="0"/>
          <w:kern w:val="0"/>
          <w:sz w:val="24"/>
          <w:szCs w:val="24"/>
          <w:u w:val="none"/>
          <w:shd w:val="clear" w:fill="FFFFFF"/>
          <w:lang w:val="en-US" w:eastAsia="zh-Hans" w:bidi="ar"/>
        </w:rPr>
        <w:t>均匀</w:t>
      </w:r>
      <w:r>
        <w:rPr>
          <w:rFonts w:hint="eastAsia" w:ascii="宋体" w:hAnsi="宋体" w:eastAsia="宋体" w:cs="宋体"/>
          <w:i w:val="0"/>
          <w:iCs w:val="0"/>
          <w:caps w:val="0"/>
          <w:color w:val="333333"/>
          <w:spacing w:val="0"/>
          <w:kern w:val="0"/>
          <w:sz w:val="24"/>
          <w:szCs w:val="24"/>
          <w:u w:val="none"/>
          <w:shd w:val="clear" w:fill="FFFFFF"/>
          <w:lang w:val="en-US" w:eastAsia="zh-CN" w:bidi="ar"/>
        </w:rPr>
        <w:t>分散体系。</w:t>
      </w:r>
      <w:r>
        <w:rPr>
          <w:rFonts w:hint="eastAsia" w:ascii="宋体" w:hAnsi="宋体" w:eastAsia="宋体" w:cs="宋体"/>
          <w:i w:val="0"/>
          <w:iCs w:val="0"/>
          <w:caps w:val="0"/>
          <w:color w:val="333333"/>
          <w:spacing w:val="0"/>
          <w:kern w:val="0"/>
          <w:sz w:val="24"/>
          <w:szCs w:val="24"/>
          <w:u w:val="none"/>
          <w:shd w:val="clear" w:fill="FFFFFF"/>
          <w:lang w:val="en-US" w:eastAsia="zh-Hans" w:bidi="ar"/>
        </w:rPr>
        <w:t>如海藻酸钠</w:t>
      </w:r>
      <w:r>
        <w:rPr>
          <w:rFonts w:hint="eastAsia"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羧甲基壳聚糖</w:t>
      </w:r>
      <w:r>
        <w:rPr>
          <w:rFonts w:hint="eastAsia" w:ascii="宋体" w:hAnsi="宋体" w:eastAsia="宋体" w:cs="宋体"/>
          <w:i w:val="0"/>
          <w:iCs w:val="0"/>
          <w:caps w:val="0"/>
          <w:color w:val="333333"/>
          <w:spacing w:val="0"/>
          <w:kern w:val="0"/>
          <w:sz w:val="24"/>
          <w:szCs w:val="24"/>
          <w:u w:val="none"/>
          <w:shd w:val="clear" w:fill="FFFFFF"/>
          <w:lang w:eastAsia="zh-Hans" w:bidi="ar"/>
        </w:rPr>
        <w:t>、</w:t>
      </w:r>
      <w:r>
        <w:rPr>
          <w:rFonts w:hint="eastAsia" w:ascii="宋体" w:hAnsi="宋体" w:eastAsia="宋体" w:cs="宋体"/>
          <w:i w:val="0"/>
          <w:iCs w:val="0"/>
          <w:caps w:val="0"/>
          <w:color w:val="333333"/>
          <w:spacing w:val="0"/>
          <w:kern w:val="0"/>
          <w:sz w:val="24"/>
          <w:szCs w:val="24"/>
          <w:u w:val="none"/>
          <w:shd w:val="clear" w:fill="FFFFFF"/>
          <w:lang w:val="en-US" w:eastAsia="zh-Hans" w:bidi="ar"/>
        </w:rPr>
        <w:t>胶原蛋白等生物材料</w:t>
      </w:r>
      <w:r>
        <w:rPr>
          <w:rFonts w:hint="eastAsia" w:ascii="宋体" w:hAnsi="宋体" w:eastAsia="宋体" w:cs="宋体"/>
          <w:i w:val="0"/>
          <w:iCs w:val="0"/>
          <w:caps w:val="0"/>
          <w:color w:val="333333"/>
          <w:spacing w:val="0"/>
          <w:kern w:val="0"/>
          <w:sz w:val="24"/>
          <w:szCs w:val="24"/>
          <w:u w:val="none"/>
          <w:shd w:val="clear" w:fill="FFFFFF"/>
          <w:lang w:eastAsia="zh-Hans" w:bidi="ar"/>
        </w:rPr>
        <w:t>。</w:t>
      </w:r>
    </w:p>
    <w:p>
      <w:pPr>
        <w:pStyle w:val="3"/>
        <w:rPr>
          <w:rStyle w:val="15"/>
          <w:rFonts w:hint="eastAsia" w:ascii="宋体" w:hAnsi="宋体" w:eastAsia="宋体" w:cs="宋体"/>
          <w:b/>
          <w:bCs/>
          <w:sz w:val="24"/>
          <w:szCs w:val="24"/>
          <w:lang w:eastAsia="zh-Hans"/>
        </w:rPr>
      </w:pPr>
      <w:bookmarkStart w:id="36" w:name="_Toc100174033"/>
      <w:r>
        <w:rPr>
          <w:rStyle w:val="15"/>
          <w:rFonts w:hint="eastAsia" w:ascii="宋体" w:hAnsi="宋体" w:eastAsia="宋体" w:cs="宋体"/>
          <w:b/>
          <w:bCs/>
          <w:sz w:val="24"/>
          <w:szCs w:val="24"/>
        </w:rPr>
        <w:t xml:space="preserve">4 </w:t>
      </w:r>
      <w:bookmarkEnd w:id="36"/>
      <w:r>
        <w:rPr>
          <w:rStyle w:val="15"/>
          <w:rFonts w:hint="eastAsia" w:ascii="宋体" w:hAnsi="宋体" w:eastAsia="宋体" w:cs="宋体"/>
          <w:b/>
          <w:bCs/>
          <w:sz w:val="24"/>
          <w:szCs w:val="24"/>
          <w:lang w:val="en-US" w:eastAsia="zh-Hans"/>
        </w:rPr>
        <w:t>细胞毒性试验</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15"/>
          <w:rFonts w:hint="eastAsia" w:ascii="宋体" w:hAnsi="宋体" w:eastAsia="宋体" w:cs="宋体"/>
          <w:b w:val="0"/>
          <w:bCs w:val="0"/>
          <w:sz w:val="24"/>
          <w:szCs w:val="24"/>
          <w:lang w:val="en-US" w:eastAsia="zh-Hans"/>
        </w:rPr>
      </w:pPr>
      <w:r>
        <w:rPr>
          <w:rStyle w:val="15"/>
          <w:rFonts w:hint="eastAsia" w:ascii="宋体" w:hAnsi="宋体" w:eastAsia="宋体" w:cs="宋体"/>
          <w:b w:val="0"/>
          <w:bCs w:val="0"/>
          <w:sz w:val="24"/>
          <w:szCs w:val="24"/>
        </w:rPr>
        <w:t>4</w:t>
      </w:r>
      <w:r>
        <w:rPr>
          <w:rStyle w:val="15"/>
          <w:rFonts w:hint="eastAsia" w:ascii="宋体" w:hAnsi="宋体" w:eastAsia="宋体" w:cs="宋体"/>
          <w:b w:val="0"/>
          <w:bCs w:val="0"/>
          <w:sz w:val="24"/>
          <w:szCs w:val="24"/>
          <w:lang w:val="en-US" w:eastAsia="zh-Hans"/>
        </w:rPr>
        <w:t>.</w:t>
      </w:r>
      <w:r>
        <w:rPr>
          <w:rStyle w:val="15"/>
          <w:rFonts w:hint="eastAsia" w:ascii="宋体" w:hAnsi="宋体" w:eastAsia="宋体" w:cs="宋体"/>
          <w:b w:val="0"/>
          <w:bCs w:val="0"/>
          <w:sz w:val="24"/>
          <w:szCs w:val="24"/>
          <w:lang w:eastAsia="zh-Hans"/>
        </w:rPr>
        <w:t xml:space="preserve">1 </w:t>
      </w:r>
      <w:r>
        <w:rPr>
          <w:rStyle w:val="15"/>
          <w:rFonts w:hint="eastAsia" w:ascii="宋体" w:hAnsi="宋体" w:eastAsia="宋体" w:cs="宋体"/>
          <w:b w:val="0"/>
          <w:bCs w:val="0"/>
          <w:sz w:val="24"/>
          <w:szCs w:val="24"/>
          <w:lang w:val="en-US" w:eastAsia="zh-Hans"/>
        </w:rPr>
        <w:t>试验原理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Style w:val="15"/>
          <w:rFonts w:hint="eastAsia" w:ascii="宋体" w:hAnsi="宋体" w:eastAsia="宋体" w:cs="宋体"/>
          <w:b w:val="0"/>
          <w:bCs w:val="0"/>
          <w:sz w:val="24"/>
          <w:szCs w:val="24"/>
          <w:lang w:eastAsia="zh-Hans"/>
        </w:rPr>
      </w:pPr>
      <w:r>
        <w:rPr>
          <w:rStyle w:val="15"/>
          <w:rFonts w:hint="eastAsia" w:ascii="宋体" w:hAnsi="宋体" w:eastAsia="宋体" w:cs="宋体"/>
          <w:b w:val="0"/>
          <w:bCs w:val="0"/>
          <w:sz w:val="24"/>
          <w:szCs w:val="24"/>
          <w:lang w:val="en-US" w:eastAsia="zh-Hans"/>
        </w:rPr>
        <w:t>本试验的原理是将待测生物材料溶解在培养基中</w:t>
      </w:r>
      <w:r>
        <w:rPr>
          <w:rStyle w:val="15"/>
          <w:rFonts w:hint="eastAsia" w:ascii="宋体" w:hAnsi="宋体" w:eastAsia="宋体" w:cs="宋体"/>
          <w:b w:val="0"/>
          <w:bCs w:val="0"/>
          <w:sz w:val="24"/>
          <w:szCs w:val="24"/>
          <w:lang w:eastAsia="zh-Hans"/>
        </w:rPr>
        <w:t>，</w:t>
      </w:r>
      <w:r>
        <w:rPr>
          <w:rStyle w:val="15"/>
          <w:rFonts w:hint="eastAsia" w:ascii="宋体" w:hAnsi="宋体" w:eastAsia="宋体" w:cs="宋体"/>
          <w:b w:val="0"/>
          <w:bCs w:val="0"/>
          <w:sz w:val="24"/>
          <w:szCs w:val="24"/>
          <w:lang w:val="en-US" w:eastAsia="zh-Hans"/>
        </w:rPr>
        <w:t>配成不同梯度浓度的样品</w:t>
      </w:r>
      <w:r>
        <w:rPr>
          <w:rStyle w:val="15"/>
          <w:rFonts w:hint="eastAsia" w:ascii="宋体" w:hAnsi="宋体" w:eastAsia="宋体" w:cs="宋体"/>
          <w:b w:val="0"/>
          <w:bCs w:val="0"/>
          <w:sz w:val="24"/>
          <w:szCs w:val="24"/>
          <w:lang w:eastAsia="zh-Hans"/>
        </w:rPr>
        <w:t>，</w:t>
      </w:r>
      <w:r>
        <w:rPr>
          <w:rStyle w:val="15"/>
          <w:rFonts w:hint="eastAsia" w:ascii="宋体" w:hAnsi="宋体" w:eastAsia="宋体" w:cs="宋体"/>
          <w:b w:val="0"/>
          <w:bCs w:val="0"/>
          <w:sz w:val="24"/>
          <w:szCs w:val="24"/>
          <w:lang w:val="en-US" w:eastAsia="zh-Hans"/>
        </w:rPr>
        <w:t>按照GB/T16886.5医疗器械生物学评价</w:t>
      </w:r>
      <w:r>
        <w:rPr>
          <w:rStyle w:val="15"/>
          <w:rFonts w:hint="eastAsia" w:ascii="宋体" w:hAnsi="宋体" w:eastAsia="宋体" w:cs="宋体"/>
          <w:b w:val="0"/>
          <w:bCs w:val="0"/>
          <w:sz w:val="24"/>
          <w:szCs w:val="24"/>
          <w:lang w:eastAsia="zh-Hans"/>
        </w:rPr>
        <w:t xml:space="preserve"> </w:t>
      </w:r>
      <w:r>
        <w:rPr>
          <w:rStyle w:val="15"/>
          <w:rFonts w:hint="eastAsia" w:ascii="宋体" w:hAnsi="宋体" w:eastAsia="宋体" w:cs="宋体"/>
          <w:b w:val="0"/>
          <w:bCs w:val="0"/>
          <w:sz w:val="24"/>
          <w:szCs w:val="24"/>
          <w:lang w:val="en-US" w:eastAsia="zh-Hans"/>
        </w:rPr>
        <w:t>第</w:t>
      </w:r>
      <w:r>
        <w:rPr>
          <w:rStyle w:val="15"/>
          <w:rFonts w:hint="eastAsia" w:ascii="宋体" w:hAnsi="宋体" w:eastAsia="宋体" w:cs="宋体"/>
          <w:b w:val="0"/>
          <w:bCs w:val="0"/>
          <w:sz w:val="24"/>
          <w:szCs w:val="24"/>
          <w:lang w:eastAsia="zh-Hans"/>
        </w:rPr>
        <w:t>5</w:t>
      </w:r>
      <w:r>
        <w:rPr>
          <w:rStyle w:val="15"/>
          <w:rFonts w:hint="eastAsia" w:ascii="宋体" w:hAnsi="宋体" w:eastAsia="宋体" w:cs="宋体"/>
          <w:b w:val="0"/>
          <w:bCs w:val="0"/>
          <w:sz w:val="24"/>
          <w:szCs w:val="24"/>
          <w:lang w:val="en-US" w:eastAsia="zh-Hans"/>
        </w:rPr>
        <w:t>部分</w:t>
      </w:r>
      <w:r>
        <w:rPr>
          <w:rStyle w:val="15"/>
          <w:rFonts w:hint="eastAsia" w:ascii="宋体" w:hAnsi="宋体" w:eastAsia="宋体" w:cs="宋体"/>
          <w:b w:val="0"/>
          <w:bCs w:val="0"/>
          <w:sz w:val="24"/>
          <w:szCs w:val="24"/>
          <w:lang w:eastAsia="zh-Hans"/>
        </w:rPr>
        <w:t>：</w:t>
      </w:r>
      <w:r>
        <w:rPr>
          <w:rStyle w:val="15"/>
          <w:rFonts w:hint="eastAsia" w:ascii="宋体" w:hAnsi="宋体" w:eastAsia="宋体" w:cs="宋体"/>
          <w:b w:val="0"/>
          <w:bCs w:val="0"/>
          <w:sz w:val="24"/>
          <w:szCs w:val="24"/>
          <w:lang w:val="en-US" w:eastAsia="zh-Hans"/>
        </w:rPr>
        <w:t>体外细胞毒性试验的方法</w:t>
      </w:r>
      <w:r>
        <w:rPr>
          <w:rStyle w:val="15"/>
          <w:rFonts w:hint="eastAsia" w:ascii="宋体" w:hAnsi="宋体" w:eastAsia="宋体" w:cs="宋体"/>
          <w:b w:val="0"/>
          <w:bCs w:val="0"/>
          <w:sz w:val="24"/>
          <w:szCs w:val="24"/>
          <w:lang w:eastAsia="zh-Hans"/>
        </w:rPr>
        <w:t>，</w:t>
      </w:r>
      <w:r>
        <w:rPr>
          <w:rStyle w:val="15"/>
          <w:rFonts w:hint="eastAsia" w:ascii="宋体" w:hAnsi="宋体" w:eastAsia="宋体" w:cs="宋体"/>
          <w:b w:val="0"/>
          <w:bCs w:val="0"/>
          <w:sz w:val="24"/>
          <w:szCs w:val="24"/>
          <w:lang w:val="en-US" w:eastAsia="zh-Hans"/>
        </w:rPr>
        <w:t>确定不同浓度下材料是否具有细胞毒性</w:t>
      </w:r>
      <w:r>
        <w:rPr>
          <w:rStyle w:val="15"/>
          <w:rFonts w:hint="eastAsia" w:ascii="宋体" w:hAnsi="宋体" w:eastAsia="宋体" w:cs="宋体"/>
          <w:b w:val="0"/>
          <w:bCs w:val="0"/>
          <w:sz w:val="24"/>
          <w:szCs w:val="24"/>
          <w:lang w:eastAsia="zh-Hans"/>
        </w:rPr>
        <w:t>，</w:t>
      </w:r>
      <w:r>
        <w:rPr>
          <w:rStyle w:val="15"/>
          <w:rFonts w:hint="eastAsia" w:ascii="宋体" w:hAnsi="宋体" w:cs="宋体"/>
          <w:b w:val="0"/>
          <w:bCs w:val="0"/>
          <w:sz w:val="24"/>
          <w:szCs w:val="24"/>
          <w:lang w:val="en-US" w:eastAsia="zh-CN"/>
        </w:rPr>
        <w:t>选择</w:t>
      </w:r>
      <w:r>
        <w:rPr>
          <w:rStyle w:val="15"/>
          <w:rFonts w:hint="eastAsia" w:ascii="宋体" w:hAnsi="宋体" w:eastAsia="宋体" w:cs="宋体"/>
          <w:b w:val="0"/>
          <w:bCs w:val="0"/>
          <w:sz w:val="24"/>
          <w:szCs w:val="24"/>
          <w:lang w:val="en-US" w:eastAsia="zh-Hans"/>
        </w:rPr>
        <w:t>不具有细胞毒性的浓度</w:t>
      </w:r>
      <w:r>
        <w:rPr>
          <w:rStyle w:val="15"/>
          <w:rFonts w:hint="eastAsia" w:ascii="宋体" w:hAnsi="宋体" w:eastAsia="宋体" w:cs="宋体"/>
          <w:b w:val="0"/>
          <w:bCs w:val="0"/>
          <w:sz w:val="24"/>
          <w:szCs w:val="24"/>
          <w:lang w:eastAsia="zh-Hans"/>
        </w:rPr>
        <w:t>，</w:t>
      </w:r>
      <w:r>
        <w:rPr>
          <w:rStyle w:val="15"/>
          <w:rFonts w:hint="eastAsia" w:ascii="宋体" w:hAnsi="宋体" w:eastAsia="宋体" w:cs="宋体"/>
          <w:b w:val="0"/>
          <w:bCs w:val="0"/>
          <w:sz w:val="24"/>
          <w:szCs w:val="24"/>
          <w:lang w:val="en-US" w:eastAsia="zh-Hans"/>
        </w:rPr>
        <w:t>用于体外细胞增殖和迁移试验</w:t>
      </w:r>
      <w:r>
        <w:rPr>
          <w:rStyle w:val="15"/>
          <w:rFonts w:hint="eastAsia" w:ascii="宋体" w:hAnsi="宋体" w:eastAsia="宋体" w:cs="宋体"/>
          <w:b w:val="0"/>
          <w:bCs w:val="0"/>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15"/>
          <w:rFonts w:hint="eastAsia" w:ascii="宋体" w:hAnsi="宋体" w:eastAsia="宋体" w:cs="宋体"/>
          <w:b w:val="0"/>
          <w:bCs w:val="0"/>
          <w:sz w:val="24"/>
          <w:szCs w:val="24"/>
          <w:lang w:val="en-US" w:eastAsia="zh-Hans"/>
        </w:rPr>
      </w:pPr>
      <w:r>
        <w:rPr>
          <w:rStyle w:val="15"/>
          <w:rFonts w:hint="eastAsia" w:ascii="宋体" w:hAnsi="宋体" w:eastAsia="宋体" w:cs="宋体"/>
          <w:b w:val="0"/>
          <w:bCs w:val="0"/>
          <w:sz w:val="24"/>
          <w:szCs w:val="24"/>
          <w:lang w:eastAsia="zh-Hans"/>
        </w:rPr>
        <w:t>4</w:t>
      </w:r>
      <w:r>
        <w:rPr>
          <w:rStyle w:val="15"/>
          <w:rFonts w:hint="eastAsia" w:ascii="宋体" w:hAnsi="宋体" w:eastAsia="宋体" w:cs="宋体"/>
          <w:b w:val="0"/>
          <w:bCs w:val="0"/>
          <w:sz w:val="24"/>
          <w:szCs w:val="24"/>
          <w:lang w:val="en-US" w:eastAsia="zh-Hans"/>
        </w:rPr>
        <w:t>.</w:t>
      </w:r>
      <w:r>
        <w:rPr>
          <w:rStyle w:val="15"/>
          <w:rFonts w:hint="eastAsia" w:ascii="宋体" w:hAnsi="宋体" w:eastAsia="宋体" w:cs="宋体"/>
          <w:b w:val="0"/>
          <w:bCs w:val="0"/>
          <w:sz w:val="24"/>
          <w:szCs w:val="24"/>
          <w:lang w:eastAsia="zh-Hans"/>
        </w:rPr>
        <w:t xml:space="preserve">2 </w:t>
      </w:r>
      <w:r>
        <w:rPr>
          <w:rStyle w:val="15"/>
          <w:rFonts w:hint="eastAsia" w:ascii="宋体" w:hAnsi="宋体" w:eastAsia="宋体" w:cs="宋体"/>
          <w:b w:val="0"/>
          <w:bCs w:val="0"/>
          <w:sz w:val="24"/>
          <w:szCs w:val="24"/>
          <w:lang w:val="en-US" w:eastAsia="zh-Hans"/>
        </w:rPr>
        <w:t>器具</w:t>
      </w:r>
      <w:r>
        <w:rPr>
          <w:rStyle w:val="15"/>
          <w:rFonts w:hint="eastAsia" w:ascii="宋体" w:hAnsi="宋体" w:eastAsia="宋体" w:cs="宋体"/>
          <w:b w:val="0"/>
          <w:bCs w:val="0"/>
          <w:sz w:val="24"/>
          <w:szCs w:val="24"/>
          <w:lang w:eastAsia="zh-Hans"/>
        </w:rPr>
        <w:t>、</w:t>
      </w:r>
      <w:r>
        <w:rPr>
          <w:rStyle w:val="15"/>
          <w:rFonts w:hint="eastAsia" w:ascii="宋体" w:hAnsi="宋体" w:eastAsia="宋体" w:cs="宋体"/>
          <w:b w:val="0"/>
          <w:bCs w:val="0"/>
          <w:sz w:val="24"/>
          <w:szCs w:val="24"/>
          <w:lang w:val="en-US" w:eastAsia="zh-Hans"/>
        </w:rPr>
        <w:t>试剂和耗材</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15"/>
          <w:rFonts w:hint="eastAsia" w:ascii="宋体" w:hAnsi="宋体" w:eastAsia="宋体" w:cs="宋体"/>
          <w:b w:val="0"/>
          <w:bCs w:val="0"/>
          <w:sz w:val="24"/>
          <w:szCs w:val="24"/>
          <w:lang w:eastAsia="zh-Hans"/>
        </w:rPr>
      </w:pPr>
      <w:r>
        <w:rPr>
          <w:rStyle w:val="15"/>
          <w:rFonts w:hint="eastAsia" w:ascii="宋体" w:hAnsi="宋体" w:eastAsia="宋体" w:cs="宋体"/>
          <w:b w:val="0"/>
          <w:bCs w:val="0"/>
          <w:sz w:val="24"/>
          <w:szCs w:val="24"/>
          <w:lang w:eastAsia="zh-Hans"/>
        </w:rPr>
        <w:t>4</w:t>
      </w:r>
      <w:r>
        <w:rPr>
          <w:rStyle w:val="15"/>
          <w:rFonts w:hint="eastAsia" w:ascii="宋体" w:hAnsi="宋体" w:eastAsia="宋体" w:cs="宋体"/>
          <w:b w:val="0"/>
          <w:bCs w:val="0"/>
          <w:sz w:val="24"/>
          <w:szCs w:val="24"/>
          <w:lang w:val="en-US" w:eastAsia="zh-Hans"/>
        </w:rPr>
        <w:t>.</w:t>
      </w:r>
      <w:r>
        <w:rPr>
          <w:rStyle w:val="15"/>
          <w:rFonts w:hint="eastAsia" w:ascii="宋体" w:hAnsi="宋体" w:eastAsia="宋体" w:cs="宋体"/>
          <w:b w:val="0"/>
          <w:bCs w:val="0"/>
          <w:sz w:val="24"/>
          <w:szCs w:val="24"/>
          <w:lang w:eastAsia="zh-Hans"/>
        </w:rPr>
        <w:t>2</w:t>
      </w:r>
      <w:r>
        <w:rPr>
          <w:rStyle w:val="15"/>
          <w:rFonts w:hint="eastAsia" w:ascii="宋体" w:hAnsi="宋体" w:eastAsia="宋体" w:cs="宋体"/>
          <w:b w:val="0"/>
          <w:bCs w:val="0"/>
          <w:sz w:val="24"/>
          <w:szCs w:val="24"/>
          <w:lang w:val="en-US" w:eastAsia="zh-Hans"/>
        </w:rPr>
        <w:t>.</w:t>
      </w:r>
      <w:r>
        <w:rPr>
          <w:rStyle w:val="15"/>
          <w:rFonts w:hint="eastAsia" w:ascii="宋体" w:hAnsi="宋体" w:eastAsia="宋体" w:cs="宋体"/>
          <w:b w:val="0"/>
          <w:bCs w:val="0"/>
          <w:sz w:val="24"/>
          <w:szCs w:val="24"/>
          <w:lang w:eastAsia="zh-Hans"/>
        </w:rPr>
        <w:t>1</w:t>
      </w:r>
      <w:r>
        <w:rPr>
          <w:rFonts w:hint="eastAsia" w:ascii="宋体" w:hAnsi="宋体" w:eastAsia="宋体" w:cs="宋体"/>
          <w:sz w:val="24"/>
          <w:szCs w:val="24"/>
        </w:rPr>
        <w:t>二氧化碳细胞培养箱、恒温水浴摇床、高压蒸汽灭菌锅、倒置荧光显微镜、细胞计数仪、恒温水浴摇床、酶标仪、电子天平、液氮罐、冷冻离心机、96孔板、细胞培养瓶</w:t>
      </w:r>
      <w:r>
        <w:rPr>
          <w:rFonts w:hint="eastAsia" w:ascii="宋体" w:hAnsi="宋体" w:cs="宋体"/>
          <w:sz w:val="24"/>
          <w:szCs w:val="24"/>
          <w:lang w:val="en-US" w:eastAsia="zh-CN"/>
        </w:rPr>
        <w:t>或细胞培养皿</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Style w:val="15"/>
          <w:rFonts w:hint="eastAsia" w:ascii="宋体" w:hAnsi="宋体" w:eastAsia="宋体" w:cs="宋体"/>
          <w:b w:val="0"/>
          <w:bCs w:val="0"/>
          <w:sz w:val="24"/>
          <w:szCs w:val="24"/>
          <w:lang w:eastAsia="zh-Hans"/>
        </w:rPr>
        <w:t>4</w:t>
      </w:r>
      <w:r>
        <w:rPr>
          <w:rStyle w:val="15"/>
          <w:rFonts w:hint="eastAsia" w:ascii="宋体" w:hAnsi="宋体" w:eastAsia="宋体" w:cs="宋体"/>
          <w:b w:val="0"/>
          <w:bCs w:val="0"/>
          <w:sz w:val="24"/>
          <w:szCs w:val="24"/>
          <w:lang w:val="en-US" w:eastAsia="zh-Hans"/>
        </w:rPr>
        <w:t>.</w:t>
      </w:r>
      <w:r>
        <w:rPr>
          <w:rStyle w:val="15"/>
          <w:rFonts w:hint="eastAsia" w:ascii="宋体" w:hAnsi="宋体" w:eastAsia="宋体" w:cs="宋体"/>
          <w:b w:val="0"/>
          <w:bCs w:val="0"/>
          <w:sz w:val="24"/>
          <w:szCs w:val="24"/>
          <w:lang w:eastAsia="zh-Hans"/>
        </w:rPr>
        <w:t>2</w:t>
      </w:r>
      <w:r>
        <w:rPr>
          <w:rStyle w:val="15"/>
          <w:rFonts w:hint="eastAsia" w:ascii="宋体" w:hAnsi="宋体" w:eastAsia="宋体" w:cs="宋体"/>
          <w:b w:val="0"/>
          <w:bCs w:val="0"/>
          <w:sz w:val="24"/>
          <w:szCs w:val="24"/>
          <w:lang w:val="en-US" w:eastAsia="zh-Hans"/>
        </w:rPr>
        <w:t>.</w:t>
      </w:r>
      <w:r>
        <w:rPr>
          <w:rStyle w:val="15"/>
          <w:rFonts w:hint="eastAsia" w:ascii="宋体" w:hAnsi="宋体" w:eastAsia="宋体" w:cs="宋体"/>
          <w:b w:val="0"/>
          <w:bCs w:val="0"/>
          <w:sz w:val="24"/>
          <w:szCs w:val="24"/>
          <w:lang w:eastAsia="zh-Hans"/>
        </w:rPr>
        <w:t xml:space="preserve">2 </w:t>
      </w:r>
      <w:r>
        <w:rPr>
          <w:rStyle w:val="15"/>
          <w:rFonts w:hint="eastAsia" w:ascii="宋体" w:hAnsi="宋体" w:eastAsia="宋体" w:cs="宋体"/>
          <w:b w:val="0"/>
          <w:bCs w:val="0"/>
          <w:sz w:val="24"/>
          <w:szCs w:val="24"/>
          <w:lang w:val="en-US" w:eastAsia="zh-Hans"/>
        </w:rPr>
        <w:t>试剂和耗材</w:t>
      </w:r>
      <w:r>
        <w:rPr>
          <w:rStyle w:val="15"/>
          <w:rFonts w:hint="eastAsia" w:ascii="宋体" w:hAnsi="宋体" w:eastAsia="宋体" w:cs="宋体"/>
          <w:b w:val="0"/>
          <w:bCs w:val="0"/>
          <w:sz w:val="24"/>
          <w:szCs w:val="24"/>
          <w:lang w:eastAsia="zh-Hans"/>
        </w:rPr>
        <w:t>：</w:t>
      </w:r>
      <w:r>
        <w:rPr>
          <w:rStyle w:val="15"/>
          <w:rFonts w:hint="eastAsia" w:ascii="宋体" w:hAnsi="宋体" w:cs="宋体"/>
          <w:b w:val="0"/>
          <w:bCs w:val="0"/>
          <w:sz w:val="24"/>
          <w:szCs w:val="24"/>
          <w:lang w:val="en-US" w:eastAsia="zh-CN"/>
        </w:rPr>
        <w:t>D</w:t>
      </w:r>
      <w:r>
        <w:rPr>
          <w:rFonts w:hint="eastAsia" w:ascii="宋体" w:hAnsi="宋体" w:eastAsia="宋体" w:cs="宋体"/>
          <w:sz w:val="24"/>
          <w:szCs w:val="24"/>
        </w:rPr>
        <w:t>MEM低糖培养基、胎牛血清(FBS)、</w:t>
      </w:r>
      <w:r>
        <w:rPr>
          <w:rFonts w:hint="eastAsia" w:ascii="宋体" w:hAnsi="宋体" w:eastAsia="宋体" w:cs="宋体"/>
          <w:sz w:val="24"/>
          <w:szCs w:val="24"/>
          <w:lang w:val="en-US" w:eastAsia="zh-Hans"/>
        </w:rPr>
        <w:t>PBS</w:t>
      </w:r>
      <w:r>
        <w:rPr>
          <w:rFonts w:hint="eastAsia" w:ascii="宋体" w:hAnsi="宋体" w:eastAsia="宋体" w:cs="宋体"/>
          <w:sz w:val="24"/>
          <w:szCs w:val="24"/>
          <w:lang w:eastAsia="zh-Hans"/>
        </w:rPr>
        <w:t>、</w:t>
      </w:r>
      <w:r>
        <w:rPr>
          <w:rFonts w:hint="eastAsia" w:ascii="宋体" w:hAnsi="宋体" w:eastAsia="宋体" w:cs="宋体"/>
          <w:sz w:val="24"/>
          <w:szCs w:val="24"/>
        </w:rPr>
        <w:t>Penicillin-Streptomycin、0.25%胰蛋白酶</w:t>
      </w:r>
      <w:r>
        <w:rPr>
          <w:rFonts w:hint="eastAsia" w:ascii="宋体" w:hAnsi="宋体" w:cs="宋体"/>
          <w:sz w:val="24"/>
          <w:szCs w:val="24"/>
          <w:lang w:eastAsia="zh-CN"/>
        </w:rPr>
        <w:t>、</w:t>
      </w:r>
      <w:r>
        <w:rPr>
          <w:rFonts w:hint="eastAsia" w:ascii="宋体" w:hAnsi="宋体" w:eastAsia="宋体" w:cs="宋体"/>
          <w:sz w:val="24"/>
          <w:szCs w:val="24"/>
        </w:rPr>
        <w:t>二甲基亚砜、噻唑蓝、异丙醇溶液、高密度聚乙烯。</w:t>
      </w:r>
    </w:p>
    <w:p>
      <w:pPr>
        <w:spacing w:line="40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4.2.3 细胞系：</w:t>
      </w:r>
      <w:r>
        <w:rPr>
          <w:rFonts w:hint="eastAsia" w:ascii="宋体" w:hAnsi="宋体" w:eastAsia="宋体" w:cs="宋体"/>
          <w:b w:val="0"/>
          <w:bCs/>
          <w:sz w:val="24"/>
          <w:szCs w:val="24"/>
        </w:rPr>
        <w:t>人成纤维细胞</w:t>
      </w:r>
      <w:r>
        <w:rPr>
          <w:rFonts w:hint="eastAsia" w:ascii="宋体" w:hAnsi="宋体" w:cs="宋体"/>
          <w:sz w:val="24"/>
          <w:szCs w:val="24"/>
          <w:lang w:val="en-US" w:eastAsia="zh-CN"/>
        </w:rPr>
        <w:t>L919。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4</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 xml:space="preserve">3 </w:t>
      </w:r>
      <w:r>
        <w:rPr>
          <w:rFonts w:hint="eastAsia" w:ascii="宋体" w:hAnsi="宋体" w:eastAsia="宋体" w:cs="宋体"/>
          <w:sz w:val="24"/>
          <w:szCs w:val="24"/>
          <w:lang w:val="en-US" w:eastAsia="zh-Hans"/>
        </w:rPr>
        <w:t>样品制备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4</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 xml:space="preserve">1 </w:t>
      </w:r>
      <w:r>
        <w:rPr>
          <w:rFonts w:hint="eastAsia" w:ascii="宋体" w:hAnsi="宋体" w:cs="宋体"/>
          <w:sz w:val="24"/>
          <w:szCs w:val="24"/>
          <w:lang w:val="en-US" w:eastAsia="zh-CN"/>
        </w:rPr>
        <w:t>试验</w:t>
      </w:r>
      <w:r>
        <w:rPr>
          <w:rFonts w:hint="eastAsia" w:ascii="宋体" w:hAnsi="宋体" w:eastAsia="宋体" w:cs="宋体"/>
          <w:sz w:val="24"/>
          <w:szCs w:val="24"/>
          <w:lang w:val="en-US" w:eastAsia="zh-Hans"/>
        </w:rPr>
        <w:t>样品的制备</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准确称取样品溶解在培养基中</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配置成不同梯度浓度的样品</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过滤除菌低温保存备用</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由于不同材料的溶解度不同</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根据样品现有的细胞毒性数据</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配置</w:t>
      </w:r>
      <w:r>
        <w:rPr>
          <w:rFonts w:hint="eastAsia" w:ascii="宋体" w:hAnsi="宋体" w:eastAsia="宋体" w:cs="宋体"/>
          <w:sz w:val="24"/>
          <w:szCs w:val="24"/>
          <w:lang w:eastAsia="zh-Hans"/>
        </w:rPr>
        <w:t>10</w:t>
      </w:r>
      <w:r>
        <w:rPr>
          <w:rFonts w:hint="eastAsia" w:ascii="宋体" w:hAnsi="宋体" w:eastAsia="宋体" w:cs="宋体"/>
          <w:sz w:val="24"/>
          <w:szCs w:val="24"/>
          <w:lang w:val="en-US" w:eastAsia="zh-Hans"/>
        </w:rPr>
        <w:t>个不同梯度浓度的样品用于细胞毒性试验</w:t>
      </w:r>
      <w:r>
        <w:rPr>
          <w:rFonts w:hint="eastAsia" w:ascii="宋体" w:hAnsi="宋体" w:eastAsia="宋体" w:cs="宋体"/>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Hans"/>
        </w:rPr>
        <w:t>4</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2</w:t>
      </w:r>
      <w:r>
        <w:rPr>
          <w:rFonts w:hint="eastAsia" w:ascii="宋体" w:hAnsi="宋体" w:eastAsia="宋体" w:cs="宋体"/>
          <w:sz w:val="24"/>
          <w:szCs w:val="24"/>
        </w:rPr>
        <w:t>阴性对照（高密度聚乙烯）：计算直径为1 cm的高密度聚乙烯双面的面积，按国标</w:t>
      </w:r>
      <w:r>
        <w:rPr>
          <w:rFonts w:hint="eastAsia" w:ascii="宋体" w:hAnsi="宋体" w:cs="宋体"/>
          <w:sz w:val="24"/>
          <w:szCs w:val="24"/>
          <w:lang w:val="en-US" w:eastAsia="zh-CN"/>
        </w:rPr>
        <w:t>GB/T16886.12</w:t>
      </w:r>
      <w:r>
        <w:rPr>
          <w:rFonts w:hint="eastAsia" w:ascii="宋体" w:hAnsi="宋体" w:eastAsia="宋体" w:cs="宋体"/>
          <w:sz w:val="24"/>
          <w:szCs w:val="24"/>
        </w:rPr>
        <w:t>要求3 cm</w:t>
      </w:r>
      <w:r>
        <w:rPr>
          <w:rFonts w:hint="eastAsia" w:ascii="宋体" w:hAnsi="宋体" w:eastAsia="宋体" w:cs="宋体"/>
          <w:sz w:val="24"/>
          <w:szCs w:val="24"/>
          <w:vertAlign w:val="superscript"/>
        </w:rPr>
        <w:t>2</w:t>
      </w:r>
      <w:r>
        <w:rPr>
          <w:rFonts w:hint="eastAsia" w:ascii="宋体" w:hAnsi="宋体" w:eastAsia="宋体" w:cs="宋体"/>
          <w:sz w:val="24"/>
          <w:szCs w:val="24"/>
        </w:rPr>
        <w:t>/mL加入</w:t>
      </w:r>
      <w:r>
        <w:rPr>
          <w:rFonts w:hint="eastAsia" w:ascii="宋体" w:hAnsi="宋体" w:cs="宋体"/>
          <w:sz w:val="24"/>
          <w:szCs w:val="24"/>
          <w:lang w:val="en-US" w:eastAsia="zh-CN"/>
        </w:rPr>
        <w:t>D</w:t>
      </w:r>
      <w:r>
        <w:rPr>
          <w:rFonts w:hint="eastAsia" w:ascii="宋体" w:hAnsi="宋体" w:eastAsia="宋体" w:cs="宋体"/>
          <w:sz w:val="24"/>
          <w:szCs w:val="24"/>
        </w:rPr>
        <w:t>MEM完全培养基，37℃、120 r/min摇床中浸提24小时，取</w:t>
      </w:r>
      <w:r>
        <w:rPr>
          <w:rFonts w:hint="eastAsia" w:ascii="宋体" w:hAnsi="宋体" w:cs="宋体"/>
          <w:sz w:val="24"/>
          <w:szCs w:val="24"/>
          <w:lang w:val="en-US" w:eastAsia="zh-CN"/>
        </w:rPr>
        <w:t>浸提</w:t>
      </w:r>
      <w:r>
        <w:rPr>
          <w:rFonts w:hint="eastAsia" w:ascii="宋体" w:hAnsi="宋体" w:eastAsia="宋体" w:cs="宋体"/>
          <w:sz w:val="24"/>
          <w:szCs w:val="24"/>
        </w:rPr>
        <w:t>液使用。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rPr>
        <w:t>阳性对照（10% DMSO）：取适量 DMSO加入</w:t>
      </w:r>
      <w:r>
        <w:rPr>
          <w:rFonts w:hint="eastAsia" w:ascii="宋体" w:hAnsi="宋体" w:cs="宋体"/>
          <w:sz w:val="24"/>
          <w:szCs w:val="24"/>
          <w:lang w:val="en-US" w:eastAsia="zh-CN"/>
        </w:rPr>
        <w:t>D</w:t>
      </w:r>
      <w:r>
        <w:rPr>
          <w:rFonts w:hint="eastAsia" w:ascii="宋体" w:hAnsi="宋体" w:eastAsia="宋体" w:cs="宋体"/>
          <w:sz w:val="24"/>
          <w:szCs w:val="24"/>
        </w:rPr>
        <w:t>MEM完全培养基内，制备10% DMSO溶液，37℃、120 r/min摇床中震荡24小时。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4</w:t>
      </w:r>
      <w:r>
        <w:rPr>
          <w:rFonts w:hint="eastAsia" w:ascii="宋体" w:hAnsi="宋体" w:eastAsia="宋体" w:cs="宋体"/>
          <w:sz w:val="24"/>
          <w:szCs w:val="24"/>
        </w:rPr>
        <w:t>空白对照：</w:t>
      </w:r>
      <w:r>
        <w:rPr>
          <w:rFonts w:hint="eastAsia" w:ascii="宋体" w:hAnsi="宋体" w:cs="宋体"/>
          <w:sz w:val="24"/>
          <w:szCs w:val="24"/>
          <w:lang w:val="en-US" w:eastAsia="zh-CN"/>
        </w:rPr>
        <w:t>D</w:t>
      </w:r>
      <w:r>
        <w:rPr>
          <w:rFonts w:hint="eastAsia" w:ascii="宋体" w:hAnsi="宋体" w:eastAsia="宋体" w:cs="宋体"/>
          <w:sz w:val="24"/>
          <w:szCs w:val="24"/>
        </w:rPr>
        <w:t>MEM完全培养基，37℃、120 r/min摇床中震荡24小时。</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15"/>
          <w:rFonts w:hint="eastAsia" w:ascii="宋体" w:hAnsi="宋体" w:eastAsia="宋体" w:cs="宋体"/>
          <w:b w:val="0"/>
          <w:bCs w:val="0"/>
          <w:sz w:val="24"/>
          <w:szCs w:val="24"/>
          <w:lang w:val="en-US" w:eastAsia="zh-Hans"/>
        </w:rPr>
      </w:pPr>
      <w:r>
        <w:rPr>
          <w:rStyle w:val="15"/>
          <w:rFonts w:hint="eastAsia" w:ascii="宋体" w:hAnsi="宋体" w:eastAsia="宋体" w:cs="宋体"/>
          <w:b w:val="0"/>
          <w:bCs w:val="0"/>
          <w:sz w:val="24"/>
          <w:szCs w:val="24"/>
          <w:lang w:eastAsia="zh-Hans"/>
        </w:rPr>
        <w:t>4</w:t>
      </w:r>
      <w:r>
        <w:rPr>
          <w:rStyle w:val="15"/>
          <w:rFonts w:hint="eastAsia" w:ascii="宋体" w:hAnsi="宋体" w:eastAsia="宋体" w:cs="宋体"/>
          <w:b w:val="0"/>
          <w:bCs w:val="0"/>
          <w:sz w:val="24"/>
          <w:szCs w:val="24"/>
          <w:lang w:val="en-US" w:eastAsia="zh-Hans"/>
        </w:rPr>
        <w:t>.</w:t>
      </w:r>
      <w:r>
        <w:rPr>
          <w:rStyle w:val="15"/>
          <w:rFonts w:hint="eastAsia" w:ascii="宋体" w:hAnsi="宋体" w:eastAsia="宋体" w:cs="宋体"/>
          <w:b w:val="0"/>
          <w:bCs w:val="0"/>
          <w:sz w:val="24"/>
          <w:szCs w:val="24"/>
          <w:lang w:eastAsia="zh-Hans"/>
        </w:rPr>
        <w:t xml:space="preserve">4 </w:t>
      </w:r>
      <w:r>
        <w:rPr>
          <w:rStyle w:val="15"/>
          <w:rFonts w:hint="eastAsia" w:ascii="宋体" w:hAnsi="宋体" w:eastAsia="宋体" w:cs="宋体"/>
          <w:b w:val="0"/>
          <w:bCs w:val="0"/>
          <w:sz w:val="24"/>
          <w:szCs w:val="24"/>
          <w:lang w:val="en-US" w:eastAsia="zh-Hans"/>
        </w:rPr>
        <w:t>试验步骤和方法</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按照国家标准</w:t>
      </w:r>
      <w:r>
        <w:rPr>
          <w:rFonts w:hint="eastAsia" w:ascii="宋体" w:hAnsi="宋体" w:eastAsia="宋体" w:cs="宋体"/>
          <w:sz w:val="24"/>
          <w:szCs w:val="24"/>
          <w:lang w:val="en-US" w:eastAsia="zh-Hans"/>
        </w:rPr>
        <w:t>GB</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T</w:t>
      </w:r>
      <w:r>
        <w:rPr>
          <w:rFonts w:hint="eastAsia" w:ascii="宋体" w:hAnsi="宋体" w:eastAsia="宋体" w:cs="宋体"/>
          <w:sz w:val="24"/>
          <w:szCs w:val="24"/>
          <w:lang w:eastAsia="zh-Hans"/>
        </w:rPr>
        <w:t>16886</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5</w:t>
      </w:r>
      <w:r>
        <w:rPr>
          <w:rFonts w:hint="eastAsia" w:ascii="宋体" w:hAnsi="宋体" w:eastAsia="宋体" w:cs="宋体"/>
          <w:sz w:val="24"/>
          <w:szCs w:val="24"/>
        </w:rPr>
        <w:t>中推荐的MTT方法进行细胞毒性实验（</w:t>
      </w:r>
      <w:r>
        <w:rPr>
          <w:rFonts w:hint="eastAsia" w:ascii="宋体" w:hAnsi="宋体" w:eastAsia="宋体" w:cs="宋体"/>
          <w:sz w:val="24"/>
          <w:szCs w:val="24"/>
          <w:lang w:val="en-US" w:eastAsia="zh-Hans"/>
        </w:rPr>
        <w:t>见表</w:t>
      </w:r>
      <w:r>
        <w:rPr>
          <w:rFonts w:hint="eastAsia" w:ascii="宋体" w:hAnsi="宋体" w:eastAsia="宋体" w:cs="宋体"/>
          <w:sz w:val="24"/>
          <w:szCs w:val="24"/>
          <w:lang w:eastAsia="zh-Hans"/>
        </w:rPr>
        <w:t>1）</w:t>
      </w:r>
      <w:r>
        <w:rPr>
          <w:rFonts w:hint="eastAsia" w:ascii="宋体" w:hAnsi="宋体" w:eastAsia="宋体" w:cs="宋体"/>
          <w:sz w:val="24"/>
          <w:szCs w:val="24"/>
        </w:rPr>
        <w:t>。</w:t>
      </w:r>
      <w:r>
        <w:rPr>
          <w:rFonts w:hint="eastAsia" w:ascii="宋体" w:hAnsi="宋体" w:eastAsia="宋体" w:cs="宋体"/>
          <w:color w:val="auto"/>
          <w:sz w:val="24"/>
          <w:szCs w:val="24"/>
        </w:rPr>
        <w:t>实验设置空白对照组(含10%新生胎牛血清低糖DMEM培养基)、阴性对照组(高密度聚乙烯浸提液)、阳性对照组(含有10% DMSO完全培养基)，样品组(不同浓度样品溶液)，每个实验组设置6个复孔。将复苏好的</w:t>
      </w:r>
      <w:r>
        <w:rPr>
          <w:rFonts w:hint="eastAsia" w:ascii="宋体" w:hAnsi="宋体" w:eastAsia="宋体" w:cs="宋体"/>
          <w:color w:val="auto"/>
          <w:sz w:val="24"/>
          <w:szCs w:val="24"/>
          <w:lang w:val="en-US" w:eastAsia="zh-Hans"/>
        </w:rPr>
        <w:t>成纤维</w:t>
      </w:r>
      <w:r>
        <w:rPr>
          <w:rFonts w:hint="eastAsia" w:ascii="宋体" w:hAnsi="宋体" w:eastAsia="宋体" w:cs="宋体"/>
          <w:color w:val="auto"/>
          <w:sz w:val="24"/>
          <w:szCs w:val="24"/>
        </w:rPr>
        <w:t>细胞传至两代以上呈对数生长期时，按照1×10</w:t>
      </w:r>
      <w:r>
        <w:rPr>
          <w:rFonts w:hint="eastAsia" w:ascii="宋体" w:hAnsi="宋体" w:eastAsia="宋体" w:cs="宋体"/>
          <w:color w:val="auto"/>
          <w:sz w:val="24"/>
          <w:szCs w:val="24"/>
          <w:vertAlign w:val="superscript"/>
        </w:rPr>
        <w:t>5</w:t>
      </w:r>
      <w:r>
        <w:rPr>
          <w:rFonts w:hint="eastAsia" w:ascii="宋体" w:hAnsi="宋体" w:eastAsia="宋体" w:cs="宋体"/>
          <w:color w:val="auto"/>
          <w:sz w:val="24"/>
          <w:szCs w:val="24"/>
        </w:rPr>
        <w:t>个/mL密度制备细胞悬液，每孔加入100 µL细胞悬液</w:t>
      </w:r>
      <w:r>
        <w:rPr>
          <w:rFonts w:hint="eastAsia" w:ascii="宋体" w:hAnsi="宋体" w:eastAsia="宋体" w:cs="宋体"/>
          <w:color w:val="auto"/>
          <w:sz w:val="24"/>
          <w:szCs w:val="24"/>
          <w:lang w:eastAsia="zh-CN"/>
        </w:rPr>
        <w:t>，</w:t>
      </w:r>
      <w:r>
        <w:rPr>
          <w:rFonts w:hint="eastAsia" w:ascii="宋体" w:hAnsi="宋体" w:eastAsia="宋体" w:cs="宋体"/>
          <w:sz w:val="24"/>
          <w:szCs w:val="24"/>
        </w:rPr>
        <w:t>然后接种到96孔板内，放入CO</w:t>
      </w:r>
      <w:r>
        <w:rPr>
          <w:rFonts w:hint="eastAsia" w:ascii="宋体" w:hAnsi="宋体" w:eastAsia="宋体" w:cs="宋体"/>
          <w:sz w:val="24"/>
          <w:szCs w:val="24"/>
          <w:vertAlign w:val="subscript"/>
        </w:rPr>
        <w:t>2</w:t>
      </w:r>
      <w:r>
        <w:rPr>
          <w:rFonts w:hint="eastAsia" w:ascii="宋体" w:hAnsi="宋体" w:eastAsia="宋体" w:cs="宋体"/>
          <w:sz w:val="24"/>
          <w:szCs w:val="24"/>
        </w:rPr>
        <w:t>细胞培养箱在37℃下培养24小时，移去旧培养基，按照实验设置加入对应培养液，继续培养24小时后，在显微镜下观察每组细胞形态，弃去每组培养液后加入1mg/mL 50 µL MTT溶液，放入细胞培养箱中孵育</w:t>
      </w:r>
      <w:r>
        <w:rPr>
          <w:rFonts w:hint="eastAsia" w:ascii="宋体" w:hAnsi="宋体" w:cs="宋体"/>
          <w:sz w:val="24"/>
          <w:szCs w:val="24"/>
          <w:lang w:val="en-US" w:eastAsia="zh-CN"/>
        </w:rPr>
        <w:t>2</w:t>
      </w:r>
      <w:r>
        <w:rPr>
          <w:rFonts w:hint="eastAsia" w:ascii="宋体" w:hAnsi="宋体" w:eastAsia="宋体" w:cs="宋体"/>
          <w:sz w:val="24"/>
          <w:szCs w:val="24"/>
        </w:rPr>
        <w:t>小时后弃去孵育液，加入100 µL异丙醇，用振荡器上振荡使蓝紫色结晶充分溶解混匀，在酶标仪上检测570 nm和650 nm波长的吸光度值并按照公式1-1计算细胞存活率。</w:t>
      </w:r>
    </w:p>
    <w:p>
      <w:pPr>
        <w:pStyle w:val="6"/>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1485900</wp:posOffset>
                </wp:positionH>
                <wp:positionV relativeFrom="paragraph">
                  <wp:posOffset>83185</wp:posOffset>
                </wp:positionV>
                <wp:extent cx="635" cy="0"/>
                <wp:effectExtent l="0" t="6350" r="0" b="63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6.55pt;height:0pt;width:0.05pt;z-index:251661312;mso-width-relative:page;mso-height-relative:page;" filled="f" stroked="t" coordsize="21600,21600" o:gfxdata="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Z3W69MAAAAJAQAADwAAAAAAAAABACAAAAA4AAAAZHJzL2Rvd25yZXYueG1sUEsBAhQA&#10;FAAAAAgAh07iQNaierLhAQAApgMAAA4AAAAAAAAAAQAgAAAAOA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iCs/>
          <w:sz w:val="24"/>
          <w:szCs w:val="24"/>
        </w:rPr>
        <w:t xml:space="preserve"> </w:t>
      </w:r>
      <w:r>
        <w:rPr>
          <w:rFonts w:hint="eastAsia" w:ascii="宋体" w:hAnsi="宋体" w:eastAsia="宋体" w:cs="宋体"/>
          <w:sz w:val="24"/>
          <w:szCs w:val="24"/>
          <w:lang w:val="en-US" w:eastAsia="zh-CN"/>
        </w:rPr>
        <w:t>细胞相对存活率(%)=</w:t>
      </w:r>
      <w:r>
        <w:rPr>
          <w:rFonts w:hint="eastAsia" w:ascii="宋体" w:hAnsi="宋体" w:eastAsia="宋体" w:cs="宋体"/>
          <w:sz w:val="24"/>
          <w:szCs w:val="24"/>
        </w:rPr>
        <w:t xml:space="preserve"> </w:t>
      </w:r>
      <m:oMath>
        <m:f>
          <m:fPr>
            <m:ctrlPr>
              <w:rPr>
                <w:rFonts w:hint="eastAsia" w:ascii="DejaVu Math TeX Gyre" w:hAnsi="DejaVu Math TeX Gyre" w:eastAsia="宋体" w:cs="宋体"/>
                <w:sz w:val="24"/>
                <w:szCs w:val="24"/>
              </w:rPr>
            </m:ctrlPr>
          </m:fPr>
          <m:num>
            <m:sSub>
              <m:sSubPr>
                <m:ctrlPr>
                  <w:rPr>
                    <w:rFonts w:hint="eastAsia" w:ascii="DejaVu Math TeX Gyre" w:hAnsi="DejaVu Math TeX Gyre" w:eastAsia="宋体" w:cs="宋体"/>
                    <w:i/>
                    <w:sz w:val="24"/>
                    <w:szCs w:val="24"/>
                  </w:rPr>
                </m:ctrlPr>
              </m:sSubPr>
              <m:e>
                <m:r>
                  <m:rPr/>
                  <w:rPr>
                    <w:rFonts w:hint="eastAsia" w:ascii="DejaVu Math TeX Gyre" w:hAnsi="DejaVu Math TeX Gyre" w:eastAsia="宋体" w:cs="宋体"/>
                    <w:sz w:val="24"/>
                    <w:szCs w:val="24"/>
                  </w:rPr>
                  <m:t>A</m:t>
                </m:r>
                <m:ctrlPr>
                  <w:rPr>
                    <w:rFonts w:hint="eastAsia" w:ascii="DejaVu Math TeX Gyre" w:hAnsi="DejaVu Math TeX Gyre" w:eastAsia="宋体" w:cs="宋体"/>
                    <w:i/>
                    <w:sz w:val="24"/>
                    <w:szCs w:val="24"/>
                  </w:rPr>
                </m:ctrlPr>
              </m:e>
              <m:sub>
                <m:r>
                  <m:rPr/>
                  <w:rPr>
                    <w:rFonts w:hint="eastAsia" w:ascii="DejaVu Math TeX Gyre" w:hAnsi="DejaVu Math TeX Gyre" w:eastAsia="宋体" w:cs="宋体"/>
                    <w:sz w:val="24"/>
                    <w:szCs w:val="24"/>
                  </w:rPr>
                  <m:t>570nm</m:t>
                </m:r>
                <m:ctrlPr>
                  <w:rPr>
                    <w:rFonts w:hint="eastAsia" w:ascii="DejaVu Math TeX Gyre" w:hAnsi="DejaVu Math TeX Gyre" w:eastAsia="宋体" w:cs="宋体"/>
                    <w:i/>
                    <w:sz w:val="24"/>
                    <w:szCs w:val="24"/>
                  </w:rPr>
                </m:ctrlPr>
              </m:sub>
            </m:sSub>
            <m:r>
              <m:rPr/>
              <w:rPr>
                <w:rFonts w:hint="eastAsia" w:ascii="DejaVu Math TeX Gyre" w:hAnsi="DejaVu Math TeX Gyre" w:eastAsia="宋体" w:cs="宋体"/>
                <w:sz w:val="24"/>
                <w:szCs w:val="24"/>
              </w:rPr>
              <m:t>−</m:t>
            </m:r>
            <m:sSub>
              <m:sSubPr>
                <m:ctrlPr>
                  <w:rPr>
                    <w:rFonts w:hint="eastAsia" w:ascii="DejaVu Math TeX Gyre" w:hAnsi="DejaVu Math TeX Gyre" w:eastAsia="宋体" w:cs="宋体"/>
                    <w:i/>
                    <w:sz w:val="24"/>
                    <w:szCs w:val="24"/>
                  </w:rPr>
                </m:ctrlPr>
              </m:sSubPr>
              <m:e>
                <m:r>
                  <m:rPr/>
                  <w:rPr>
                    <w:rFonts w:hint="eastAsia" w:ascii="DejaVu Math TeX Gyre" w:hAnsi="DejaVu Math TeX Gyre" w:eastAsia="宋体" w:cs="宋体"/>
                    <w:sz w:val="24"/>
                    <w:szCs w:val="24"/>
                  </w:rPr>
                  <m:t>A</m:t>
                </m:r>
                <m:ctrlPr>
                  <w:rPr>
                    <w:rFonts w:hint="eastAsia" w:ascii="DejaVu Math TeX Gyre" w:hAnsi="DejaVu Math TeX Gyre" w:eastAsia="宋体" w:cs="宋体"/>
                    <w:i/>
                    <w:sz w:val="24"/>
                    <w:szCs w:val="24"/>
                  </w:rPr>
                </m:ctrlPr>
              </m:e>
              <m:sub>
                <m:r>
                  <m:rPr/>
                  <w:rPr>
                    <w:rFonts w:hint="eastAsia" w:ascii="DejaVu Math TeX Gyre" w:hAnsi="DejaVu Math TeX Gyre" w:eastAsia="宋体" w:cs="宋体"/>
                    <w:sz w:val="24"/>
                    <w:szCs w:val="24"/>
                  </w:rPr>
                  <m:t>650nm</m:t>
                </m:r>
                <m:ctrlPr>
                  <w:rPr>
                    <w:rFonts w:hint="eastAsia" w:ascii="DejaVu Math TeX Gyre" w:hAnsi="DejaVu Math TeX Gyre" w:eastAsia="宋体" w:cs="宋体"/>
                    <w:i/>
                    <w:sz w:val="24"/>
                    <w:szCs w:val="24"/>
                  </w:rPr>
                </m:ctrlPr>
              </m:sub>
            </m:sSub>
            <m:ctrlPr>
              <w:rPr>
                <w:rFonts w:hint="eastAsia" w:ascii="DejaVu Math TeX Gyre" w:hAnsi="DejaVu Math TeX Gyre" w:eastAsia="宋体" w:cs="宋体"/>
                <w:sz w:val="24"/>
                <w:szCs w:val="24"/>
              </w:rPr>
            </m:ctrlPr>
          </m:num>
          <m:den>
            <m:sSub>
              <m:sSubPr>
                <m:ctrlPr>
                  <w:rPr>
                    <w:rFonts w:hint="eastAsia" w:ascii="DejaVu Math TeX Gyre" w:hAnsi="DejaVu Math TeX Gyre" w:eastAsia="宋体" w:cs="宋体"/>
                    <w:i/>
                    <w:sz w:val="24"/>
                    <w:szCs w:val="24"/>
                  </w:rPr>
                </m:ctrlPr>
              </m:sSubPr>
              <m:e>
                <m:r>
                  <m:rPr/>
                  <w:rPr>
                    <w:rFonts w:hint="eastAsia" w:ascii="DejaVu Math TeX Gyre" w:hAnsi="DejaVu Math TeX Gyre" w:eastAsia="宋体" w:cs="宋体"/>
                    <w:sz w:val="24"/>
                    <w:szCs w:val="24"/>
                  </w:rPr>
                  <m:t>B</m:t>
                </m:r>
                <m:ctrlPr>
                  <w:rPr>
                    <w:rFonts w:hint="eastAsia" w:ascii="DejaVu Math TeX Gyre" w:hAnsi="DejaVu Math TeX Gyre" w:eastAsia="宋体" w:cs="宋体"/>
                    <w:i/>
                    <w:sz w:val="24"/>
                    <w:szCs w:val="24"/>
                  </w:rPr>
                </m:ctrlPr>
              </m:e>
              <m:sub>
                <m:r>
                  <m:rPr/>
                  <w:rPr>
                    <w:rFonts w:hint="eastAsia" w:ascii="DejaVu Math TeX Gyre" w:hAnsi="DejaVu Math TeX Gyre" w:eastAsia="宋体" w:cs="宋体"/>
                    <w:sz w:val="24"/>
                    <w:szCs w:val="24"/>
                  </w:rPr>
                  <m:t>570nm</m:t>
                </m:r>
                <m:ctrlPr>
                  <w:rPr>
                    <w:rFonts w:hint="eastAsia" w:ascii="DejaVu Math TeX Gyre" w:hAnsi="DejaVu Math TeX Gyre" w:eastAsia="宋体" w:cs="宋体"/>
                    <w:i/>
                    <w:sz w:val="24"/>
                    <w:szCs w:val="24"/>
                  </w:rPr>
                </m:ctrlPr>
              </m:sub>
            </m:sSub>
            <m:r>
              <m:rPr/>
              <w:rPr>
                <w:rFonts w:hint="eastAsia" w:ascii="DejaVu Math TeX Gyre" w:hAnsi="DejaVu Math TeX Gyre" w:eastAsia="宋体" w:cs="宋体"/>
                <w:sz w:val="24"/>
                <w:szCs w:val="24"/>
              </w:rPr>
              <m:t>−</m:t>
            </m:r>
            <m:sSub>
              <m:sSubPr>
                <m:ctrlPr>
                  <w:rPr>
                    <w:rFonts w:hint="eastAsia" w:ascii="DejaVu Math TeX Gyre" w:hAnsi="DejaVu Math TeX Gyre" w:eastAsia="宋体" w:cs="宋体"/>
                    <w:i/>
                    <w:sz w:val="24"/>
                    <w:szCs w:val="24"/>
                  </w:rPr>
                </m:ctrlPr>
              </m:sSubPr>
              <m:e>
                <m:r>
                  <m:rPr/>
                  <w:rPr>
                    <w:rFonts w:hint="eastAsia" w:ascii="DejaVu Math TeX Gyre" w:hAnsi="DejaVu Math TeX Gyre" w:eastAsia="宋体" w:cs="宋体"/>
                    <w:sz w:val="24"/>
                    <w:szCs w:val="24"/>
                  </w:rPr>
                  <m:t>B</m:t>
                </m:r>
                <m:ctrlPr>
                  <w:rPr>
                    <w:rFonts w:hint="eastAsia" w:ascii="DejaVu Math TeX Gyre" w:hAnsi="DejaVu Math TeX Gyre" w:eastAsia="宋体" w:cs="宋体"/>
                    <w:i/>
                    <w:sz w:val="24"/>
                    <w:szCs w:val="24"/>
                  </w:rPr>
                </m:ctrlPr>
              </m:e>
              <m:sub>
                <m:r>
                  <m:rPr/>
                  <w:rPr>
                    <w:rFonts w:hint="eastAsia" w:ascii="DejaVu Math TeX Gyre" w:hAnsi="DejaVu Math TeX Gyre" w:eastAsia="宋体" w:cs="宋体"/>
                    <w:sz w:val="24"/>
                    <w:szCs w:val="24"/>
                  </w:rPr>
                  <m:t>650nm</m:t>
                </m:r>
                <m:ctrlPr>
                  <w:rPr>
                    <w:rFonts w:hint="eastAsia" w:ascii="DejaVu Math TeX Gyre" w:hAnsi="DejaVu Math TeX Gyre" w:eastAsia="宋体" w:cs="宋体"/>
                    <w:i/>
                    <w:sz w:val="24"/>
                    <w:szCs w:val="24"/>
                  </w:rPr>
                </m:ctrlPr>
              </m:sub>
            </m:sSub>
            <m:ctrlPr>
              <w:rPr>
                <w:rFonts w:hint="eastAsia" w:ascii="DejaVu Math TeX Gyre" w:hAnsi="DejaVu Math TeX Gyre" w:eastAsia="宋体" w:cs="宋体"/>
                <w:sz w:val="24"/>
                <w:szCs w:val="24"/>
              </w:rPr>
            </m:ctrlPr>
          </m:den>
        </m:f>
        <m:r>
          <m:rPr>
            <m:sty m:val="p"/>
          </m:rPr>
          <w:rPr>
            <w:rFonts w:hint="eastAsia" w:ascii="DejaVu Math TeX Gyre" w:hAnsi="DejaVu Math TeX Gyre" w:eastAsia="宋体" w:cs="宋体"/>
            <w:sz w:val="24"/>
            <w:szCs w:val="24"/>
          </w:rPr>
          <m:t xml:space="preserve"> ×100%</m:t>
        </m:r>
      </m:oMath>
      <w:r>
        <w:rPr>
          <w:rFonts w:hint="eastAsia" w:ascii="宋体" w:hAnsi="宋体" w:eastAsia="宋体" w:cs="宋体"/>
          <w:sz w:val="24"/>
          <w:szCs w:val="24"/>
          <w:lang w:eastAsia="zh-CN"/>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Cs/>
          <w:sz w:val="24"/>
          <w:szCs w:val="24"/>
          <w:lang w:val="en-US" w:eastAsia="zh-CN"/>
        </w:rPr>
        <w:t>式</w:t>
      </w:r>
      <w:r>
        <w:rPr>
          <w:rFonts w:hint="eastAsia" w:ascii="宋体" w:hAnsi="宋体" w:eastAsia="宋体" w:cs="宋体"/>
          <w:bCs/>
          <w:sz w:val="24"/>
          <w:szCs w:val="24"/>
          <w:lang w:eastAsia="zh-CN"/>
        </w:rPr>
        <w:t>1</w:t>
      </w:r>
      <w:r>
        <w:rPr>
          <w:rFonts w:hint="eastAsia" w:ascii="宋体" w:hAnsi="宋体" w:eastAsia="宋体" w:cs="宋体"/>
          <w:bCs/>
          <w:sz w:val="24"/>
          <w:szCs w:val="24"/>
          <w:lang w:val="en-US" w:eastAsia="zh-CN"/>
        </w:rPr>
        <w:t>-1</w:t>
      </w:r>
    </w:p>
    <w:p>
      <w:pPr>
        <w:spacing w:line="400" w:lineRule="exact"/>
        <w:ind w:firstLine="482"/>
        <w:jc w:val="both"/>
        <w:rPr>
          <w:rFonts w:hint="eastAsia" w:ascii="宋体" w:hAnsi="宋体" w:eastAsia="宋体" w:cs="宋体"/>
          <w:sz w:val="24"/>
          <w:szCs w:val="24"/>
        </w:rPr>
      </w:pPr>
      <w:r>
        <w:rPr>
          <w:rFonts w:hint="eastAsia" w:ascii="宋体" w:hAnsi="宋体" w:eastAsia="宋体" w:cs="宋体"/>
          <w:sz w:val="24"/>
          <w:szCs w:val="24"/>
        </w:rPr>
        <w:t>A ──不同生物材料组(阴性、阳性对照组)平均吸光度</w:t>
      </w:r>
    </w:p>
    <w:p>
      <w:pPr>
        <w:spacing w:line="400" w:lineRule="exact"/>
        <w:ind w:firstLine="482"/>
        <w:jc w:val="both"/>
        <w:rPr>
          <w:rFonts w:hint="eastAsia" w:ascii="宋体" w:hAnsi="宋体" w:eastAsia="宋体" w:cs="宋体"/>
          <w:sz w:val="24"/>
          <w:szCs w:val="24"/>
        </w:rPr>
      </w:pPr>
      <w:r>
        <w:rPr>
          <w:rFonts w:hint="eastAsia" w:ascii="宋体" w:hAnsi="宋体" w:eastAsia="宋体" w:cs="宋体"/>
          <w:sz w:val="24"/>
          <w:szCs w:val="24"/>
        </w:rPr>
        <w:t>B ──空白对照组平均吸光度</w:t>
      </w:r>
    </w:p>
    <w:p>
      <w:pPr>
        <w:spacing w:before="163" w:beforeLines="50" w:line="400" w:lineRule="exact"/>
        <w:jc w:val="center"/>
        <w:rPr>
          <w:rFonts w:hint="eastAsia" w:ascii="宋体" w:hAnsi="宋体" w:eastAsia="宋体" w:cs="宋体"/>
          <w:b w:val="0"/>
          <w:bCs/>
          <w:sz w:val="24"/>
          <w:szCs w:val="24"/>
        </w:rPr>
      </w:pPr>
      <w:r>
        <w:rPr>
          <w:rFonts w:hint="eastAsia" w:ascii="宋体" w:hAnsi="宋体" w:eastAsia="宋体" w:cs="宋体"/>
          <w:bCs/>
          <w:sz w:val="24"/>
          <w:szCs w:val="24"/>
        </w:rPr>
        <w:t>表</w:t>
      </w:r>
      <w:r>
        <w:rPr>
          <w:rFonts w:hint="eastAsia" w:ascii="宋体" w:hAnsi="宋体" w:eastAsia="宋体" w:cs="宋体"/>
          <w:b w:val="0"/>
          <w:bCs/>
          <w:sz w:val="24"/>
          <w:szCs w:val="24"/>
        </w:rPr>
        <w:t>1 细胞毒性实验</w:t>
      </w:r>
    </w:p>
    <w:tbl>
      <w:tblPr>
        <w:tblStyle w:val="13"/>
        <w:tblW w:w="5000"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35"/>
        <w:gridCol w:w="4046"/>
        <w:gridCol w:w="1569"/>
        <w:gridCol w:w="1712"/>
        <w:gridCol w:w="1300"/>
      </w:tblGrid>
      <w:tr>
        <w:trPr>
          <w:trHeight w:val="333" w:hRule="atLeast"/>
          <w:jc w:val="center"/>
        </w:trPr>
        <w:tc>
          <w:tcPr>
            <w:tcW w:w="670" w:type="pct"/>
            <w:tcBorders>
              <w:top w:val="single" w:color="auto" w:sz="8" w:space="0"/>
              <w:bottom w:val="single" w:color="auto" w:sz="6" w:space="0"/>
            </w:tcBorders>
            <w:vAlign w:val="center"/>
          </w:tcPr>
          <w:p>
            <w:pPr>
              <w:spacing w:line="400" w:lineRule="exact"/>
              <w:rPr>
                <w:rFonts w:hint="eastAsia" w:ascii="宋体" w:hAnsi="宋体" w:eastAsia="宋体" w:cs="宋体"/>
                <w:b w:val="0"/>
                <w:bCs/>
                <w:sz w:val="24"/>
                <w:szCs w:val="24"/>
              </w:rPr>
            </w:pPr>
            <w:r>
              <w:rPr>
                <w:rFonts w:hint="eastAsia" w:ascii="宋体" w:hAnsi="宋体" w:eastAsia="宋体" w:cs="宋体"/>
                <w:b w:val="0"/>
                <w:bCs/>
                <w:sz w:val="24"/>
                <w:szCs w:val="24"/>
              </w:rPr>
              <w:t>实验分组</w:t>
            </w:r>
          </w:p>
        </w:tc>
        <w:tc>
          <w:tcPr>
            <w:tcW w:w="2030"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处理条件</w:t>
            </w:r>
          </w:p>
        </w:tc>
        <w:tc>
          <w:tcPr>
            <w:tcW w:w="787" w:type="pct"/>
            <w:tcBorders>
              <w:top w:val="single" w:color="auto" w:sz="8" w:space="0"/>
              <w:bottom w:val="single" w:color="auto" w:sz="6" w:space="0"/>
            </w:tcBorders>
            <w:vAlign w:val="center"/>
          </w:tcPr>
          <w:p>
            <w:pPr>
              <w:spacing w:line="400" w:lineRule="exact"/>
              <w:rPr>
                <w:rFonts w:hint="eastAsia" w:ascii="宋体" w:hAnsi="宋体" w:eastAsia="宋体" w:cs="宋体"/>
                <w:b w:val="0"/>
                <w:bCs/>
                <w:sz w:val="24"/>
                <w:szCs w:val="24"/>
              </w:rPr>
            </w:pPr>
            <w:r>
              <w:rPr>
                <w:rFonts w:hint="eastAsia" w:ascii="宋体" w:hAnsi="宋体" w:eastAsia="宋体" w:cs="宋体"/>
                <w:b w:val="0"/>
                <w:bCs/>
                <w:sz w:val="24"/>
                <w:szCs w:val="24"/>
              </w:rPr>
              <w:t>检测模型</w:t>
            </w:r>
          </w:p>
        </w:tc>
        <w:tc>
          <w:tcPr>
            <w:tcW w:w="859" w:type="pct"/>
            <w:tcBorders>
              <w:top w:val="single" w:color="auto" w:sz="8" w:space="0"/>
              <w:bottom w:val="single" w:color="auto" w:sz="6" w:space="0"/>
            </w:tcBorders>
            <w:vAlign w:val="center"/>
          </w:tcPr>
          <w:p>
            <w:pPr>
              <w:spacing w:line="400" w:lineRule="exact"/>
              <w:jc w:val="center"/>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观察时间</w:t>
            </w:r>
          </w:p>
        </w:tc>
        <w:tc>
          <w:tcPr>
            <w:tcW w:w="652"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检测方法</w:t>
            </w:r>
          </w:p>
        </w:tc>
      </w:tr>
      <w:tr>
        <w:trPr>
          <w:trHeight w:val="204" w:hRule="atLeast"/>
          <w:jc w:val="center"/>
        </w:trPr>
        <w:tc>
          <w:tcPr>
            <w:tcW w:w="670" w:type="pct"/>
            <w:tcBorders>
              <w:top w:val="single" w:color="auto" w:sz="6" w:space="0"/>
            </w:tcBorders>
            <w:vAlign w:val="center"/>
          </w:tcPr>
          <w:p>
            <w:pPr>
              <w:spacing w:line="400" w:lineRule="exact"/>
              <w:rPr>
                <w:rFonts w:hint="eastAsia" w:ascii="宋体" w:hAnsi="宋体" w:eastAsia="宋体" w:cs="宋体"/>
                <w:b w:val="0"/>
                <w:bCs/>
                <w:sz w:val="24"/>
                <w:szCs w:val="24"/>
              </w:rPr>
            </w:pPr>
            <w:r>
              <w:rPr>
                <w:rFonts w:hint="eastAsia" w:ascii="宋体" w:hAnsi="宋体" w:eastAsia="宋体" w:cs="宋体"/>
                <w:b w:val="0"/>
                <w:bCs/>
                <w:sz w:val="24"/>
                <w:szCs w:val="24"/>
              </w:rPr>
              <w:t>空白对照</w:t>
            </w:r>
          </w:p>
        </w:tc>
        <w:tc>
          <w:tcPr>
            <w:tcW w:w="2030" w:type="pct"/>
            <w:tcBorders>
              <w:top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含10%血清培养基</w:t>
            </w:r>
          </w:p>
        </w:tc>
        <w:tc>
          <w:tcPr>
            <w:tcW w:w="787" w:type="pct"/>
            <w:vMerge w:val="restart"/>
            <w:tcBorders>
              <w:top w:val="single" w:color="auto" w:sz="6" w:space="0"/>
            </w:tcBorders>
            <w:vAlign w:val="center"/>
          </w:tcPr>
          <w:p>
            <w:pPr>
              <w:spacing w:line="400" w:lineRule="exact"/>
              <w:rPr>
                <w:rFonts w:hint="eastAsia" w:ascii="宋体" w:hAnsi="宋体" w:eastAsia="宋体" w:cs="宋体"/>
                <w:b w:val="0"/>
                <w:bCs/>
                <w:sz w:val="24"/>
                <w:szCs w:val="24"/>
              </w:rPr>
            </w:pPr>
            <w:r>
              <w:rPr>
                <w:rFonts w:hint="eastAsia" w:ascii="宋体" w:hAnsi="宋体" w:eastAsia="宋体" w:cs="宋体"/>
                <w:b w:val="0"/>
                <w:bCs/>
                <w:sz w:val="24"/>
                <w:szCs w:val="24"/>
              </w:rPr>
              <w:t>人成纤维细胞</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Hans"/>
              </w:rPr>
              <w:t>L9</w:t>
            </w:r>
            <w:r>
              <w:rPr>
                <w:rFonts w:hint="eastAsia" w:ascii="宋体" w:hAnsi="宋体" w:eastAsia="宋体" w:cs="宋体"/>
                <w:b w:val="0"/>
                <w:bCs/>
                <w:sz w:val="24"/>
                <w:szCs w:val="24"/>
                <w:lang w:eastAsia="zh-Hans"/>
              </w:rPr>
              <w:t>19</w:t>
            </w:r>
            <w:r>
              <w:rPr>
                <w:rFonts w:hint="eastAsia" w:ascii="宋体" w:hAnsi="宋体" w:eastAsia="宋体" w:cs="宋体"/>
                <w:b w:val="0"/>
                <w:bCs/>
                <w:sz w:val="24"/>
                <w:szCs w:val="24"/>
              </w:rPr>
              <w:t>)</w:t>
            </w:r>
          </w:p>
        </w:tc>
        <w:tc>
          <w:tcPr>
            <w:tcW w:w="859" w:type="pct"/>
            <w:vMerge w:val="restart"/>
            <w:tcBorders>
              <w:top w:val="single" w:color="auto" w:sz="6" w:space="0"/>
            </w:tcBorders>
            <w:vAlign w:val="center"/>
          </w:tcPr>
          <w:p>
            <w:pPr>
              <w:spacing w:line="400" w:lineRule="exact"/>
              <w:rPr>
                <w:rFonts w:hint="eastAsia" w:ascii="宋体" w:hAnsi="宋体" w:eastAsia="宋体" w:cs="宋体"/>
                <w:b w:val="0"/>
                <w:bCs/>
                <w:sz w:val="24"/>
                <w:szCs w:val="24"/>
                <w:vertAlign w:val="subscript"/>
              </w:rPr>
            </w:pPr>
            <w:r>
              <w:rPr>
                <w:rFonts w:hint="eastAsia" w:ascii="宋体" w:hAnsi="宋体" w:eastAsia="宋体" w:cs="宋体"/>
                <w:b w:val="0"/>
                <w:bCs/>
                <w:sz w:val="24"/>
                <w:szCs w:val="24"/>
              </w:rPr>
              <w:t>37℃、5% CO</w:t>
            </w:r>
            <w:r>
              <w:rPr>
                <w:rFonts w:hint="eastAsia" w:ascii="宋体" w:hAnsi="宋体" w:eastAsia="宋体" w:cs="宋体"/>
                <w:b w:val="0"/>
                <w:bCs/>
                <w:sz w:val="24"/>
                <w:szCs w:val="24"/>
                <w:vertAlign w:val="subscript"/>
              </w:rPr>
              <w:t>2</w:t>
            </w:r>
          </w:p>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共培养 24h</w:t>
            </w:r>
          </w:p>
        </w:tc>
        <w:tc>
          <w:tcPr>
            <w:tcW w:w="652" w:type="pct"/>
            <w:vMerge w:val="restart"/>
            <w:tcBorders>
              <w:top w:val="single" w:color="auto" w:sz="6" w:space="0"/>
            </w:tcBorders>
            <w:vAlign w:val="center"/>
          </w:tcPr>
          <w:p>
            <w:pPr>
              <w:spacing w:line="400" w:lineRule="exact"/>
              <w:rPr>
                <w:rFonts w:hint="eastAsia" w:ascii="宋体" w:hAnsi="宋体" w:eastAsia="宋体" w:cs="宋体"/>
                <w:b w:val="0"/>
                <w:bCs/>
                <w:sz w:val="24"/>
                <w:szCs w:val="24"/>
              </w:rPr>
            </w:pPr>
            <w:r>
              <w:rPr>
                <w:rFonts w:hint="eastAsia" w:ascii="宋体" w:hAnsi="宋体" w:eastAsia="宋体" w:cs="宋体"/>
                <w:b w:val="0"/>
                <w:bCs/>
                <w:sz w:val="24"/>
                <w:szCs w:val="24"/>
              </w:rPr>
              <w:t>MTT法</w:t>
            </w:r>
          </w:p>
        </w:tc>
      </w:tr>
      <w:tr>
        <w:trPr>
          <w:jc w:val="center"/>
        </w:trPr>
        <w:tc>
          <w:tcPr>
            <w:tcW w:w="670" w:type="pct"/>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阴性对照</w:t>
            </w:r>
          </w:p>
        </w:tc>
        <w:tc>
          <w:tcPr>
            <w:tcW w:w="2030" w:type="pct"/>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高密度聚乙烯含血清培养基浸提液</w:t>
            </w:r>
          </w:p>
        </w:tc>
        <w:tc>
          <w:tcPr>
            <w:tcW w:w="787" w:type="pct"/>
            <w:vMerge w:val="continue"/>
            <w:vAlign w:val="center"/>
          </w:tcPr>
          <w:p>
            <w:pPr>
              <w:spacing w:line="400" w:lineRule="exact"/>
              <w:jc w:val="center"/>
              <w:rPr>
                <w:rFonts w:hint="eastAsia" w:ascii="宋体" w:hAnsi="宋体" w:eastAsia="宋体" w:cs="宋体"/>
                <w:sz w:val="24"/>
                <w:szCs w:val="24"/>
              </w:rPr>
            </w:pPr>
          </w:p>
        </w:tc>
        <w:tc>
          <w:tcPr>
            <w:tcW w:w="859" w:type="pct"/>
            <w:vMerge w:val="continue"/>
            <w:vAlign w:val="center"/>
          </w:tcPr>
          <w:p>
            <w:pPr>
              <w:spacing w:line="400" w:lineRule="exact"/>
              <w:jc w:val="center"/>
              <w:rPr>
                <w:rFonts w:hint="eastAsia" w:ascii="宋体" w:hAnsi="宋体" w:eastAsia="宋体" w:cs="宋体"/>
                <w:sz w:val="24"/>
                <w:szCs w:val="24"/>
              </w:rPr>
            </w:pPr>
          </w:p>
        </w:tc>
        <w:tc>
          <w:tcPr>
            <w:tcW w:w="652" w:type="pct"/>
            <w:vMerge w:val="continue"/>
            <w:vAlign w:val="center"/>
          </w:tcPr>
          <w:p>
            <w:pPr>
              <w:spacing w:line="400" w:lineRule="exact"/>
              <w:jc w:val="center"/>
              <w:rPr>
                <w:rFonts w:hint="eastAsia" w:ascii="宋体" w:hAnsi="宋体" w:eastAsia="宋体" w:cs="宋体"/>
                <w:sz w:val="24"/>
                <w:szCs w:val="24"/>
              </w:rPr>
            </w:pPr>
          </w:p>
        </w:tc>
      </w:tr>
      <w:tr>
        <w:trPr>
          <w:jc w:val="center"/>
        </w:trPr>
        <w:tc>
          <w:tcPr>
            <w:tcW w:w="670" w:type="pct"/>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阳性对照</w:t>
            </w:r>
          </w:p>
        </w:tc>
        <w:tc>
          <w:tcPr>
            <w:tcW w:w="2030" w:type="pct"/>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10%DMSO含血清培养基</w:t>
            </w:r>
          </w:p>
        </w:tc>
        <w:tc>
          <w:tcPr>
            <w:tcW w:w="787" w:type="pct"/>
            <w:vMerge w:val="continue"/>
            <w:vAlign w:val="center"/>
          </w:tcPr>
          <w:p>
            <w:pPr>
              <w:spacing w:line="400" w:lineRule="exact"/>
              <w:jc w:val="center"/>
              <w:rPr>
                <w:rFonts w:hint="eastAsia" w:ascii="宋体" w:hAnsi="宋体" w:eastAsia="宋体" w:cs="宋体"/>
                <w:sz w:val="24"/>
                <w:szCs w:val="24"/>
              </w:rPr>
            </w:pPr>
          </w:p>
        </w:tc>
        <w:tc>
          <w:tcPr>
            <w:tcW w:w="859" w:type="pct"/>
            <w:vMerge w:val="continue"/>
            <w:vAlign w:val="center"/>
          </w:tcPr>
          <w:p>
            <w:pPr>
              <w:spacing w:line="400" w:lineRule="exact"/>
              <w:jc w:val="center"/>
              <w:rPr>
                <w:rFonts w:hint="eastAsia" w:ascii="宋体" w:hAnsi="宋体" w:eastAsia="宋体" w:cs="宋体"/>
                <w:sz w:val="24"/>
                <w:szCs w:val="24"/>
              </w:rPr>
            </w:pPr>
          </w:p>
        </w:tc>
        <w:tc>
          <w:tcPr>
            <w:tcW w:w="652" w:type="pct"/>
            <w:vMerge w:val="continue"/>
            <w:vAlign w:val="center"/>
          </w:tcPr>
          <w:p>
            <w:pPr>
              <w:spacing w:line="400" w:lineRule="exact"/>
              <w:jc w:val="center"/>
              <w:rPr>
                <w:rFonts w:hint="eastAsia" w:ascii="宋体" w:hAnsi="宋体" w:eastAsia="宋体" w:cs="宋体"/>
                <w:sz w:val="24"/>
                <w:szCs w:val="24"/>
              </w:rPr>
            </w:pPr>
          </w:p>
        </w:tc>
      </w:tr>
      <w:tr>
        <w:trPr>
          <w:trHeight w:val="150" w:hRule="atLeast"/>
          <w:jc w:val="center"/>
        </w:trPr>
        <w:tc>
          <w:tcPr>
            <w:tcW w:w="670" w:type="pct"/>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样品组</w:t>
            </w:r>
          </w:p>
        </w:tc>
        <w:tc>
          <w:tcPr>
            <w:tcW w:w="2030" w:type="pct"/>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不同</w:t>
            </w:r>
            <w:r>
              <w:rPr>
                <w:rFonts w:hint="eastAsia" w:ascii="宋体" w:hAnsi="宋体" w:cs="宋体"/>
                <w:sz w:val="24"/>
                <w:szCs w:val="24"/>
                <w:lang w:val="en-US" w:eastAsia="zh-CN"/>
              </w:rPr>
              <w:t>浓度样品</w:t>
            </w:r>
            <w:r>
              <w:rPr>
                <w:rFonts w:hint="eastAsia" w:ascii="宋体" w:hAnsi="宋体" w:eastAsia="宋体" w:cs="宋体"/>
                <w:sz w:val="24"/>
                <w:szCs w:val="24"/>
              </w:rPr>
              <w:t>溶液</w:t>
            </w:r>
          </w:p>
        </w:tc>
        <w:tc>
          <w:tcPr>
            <w:tcW w:w="787" w:type="pct"/>
            <w:vMerge w:val="continue"/>
            <w:vAlign w:val="center"/>
          </w:tcPr>
          <w:p>
            <w:pPr>
              <w:spacing w:line="400" w:lineRule="exact"/>
              <w:jc w:val="center"/>
              <w:rPr>
                <w:rFonts w:hint="eastAsia" w:ascii="宋体" w:hAnsi="宋体" w:eastAsia="宋体" w:cs="宋体"/>
                <w:sz w:val="24"/>
                <w:szCs w:val="24"/>
              </w:rPr>
            </w:pPr>
          </w:p>
        </w:tc>
        <w:tc>
          <w:tcPr>
            <w:tcW w:w="859" w:type="pct"/>
            <w:vMerge w:val="continue"/>
            <w:vAlign w:val="center"/>
          </w:tcPr>
          <w:p>
            <w:pPr>
              <w:spacing w:line="400" w:lineRule="exact"/>
              <w:jc w:val="center"/>
              <w:rPr>
                <w:rFonts w:hint="eastAsia" w:ascii="宋体" w:hAnsi="宋体" w:eastAsia="宋体" w:cs="宋体"/>
                <w:sz w:val="24"/>
                <w:szCs w:val="24"/>
              </w:rPr>
            </w:pPr>
          </w:p>
        </w:tc>
        <w:tc>
          <w:tcPr>
            <w:tcW w:w="652" w:type="pct"/>
            <w:vMerge w:val="continue"/>
            <w:vAlign w:val="center"/>
          </w:tcPr>
          <w:p>
            <w:pPr>
              <w:spacing w:line="400" w:lineRule="exact"/>
              <w:jc w:val="center"/>
              <w:rPr>
                <w:rFonts w:hint="eastAsia" w:ascii="宋体" w:hAnsi="宋体" w:eastAsia="宋体" w:cs="宋体"/>
                <w:sz w:val="24"/>
                <w:szCs w:val="24"/>
              </w:rPr>
            </w:pPr>
          </w:p>
        </w:tc>
      </w:tr>
    </w:tbl>
    <w:p>
      <w:pPr>
        <w:pStyle w:val="3"/>
        <w:rPr>
          <w:rStyle w:val="15"/>
          <w:rFonts w:hint="eastAsia" w:ascii="宋体" w:hAnsi="宋体" w:eastAsia="宋体" w:cs="宋体"/>
          <w:b w:val="0"/>
          <w:bCs w:val="0"/>
          <w:sz w:val="24"/>
          <w:szCs w:val="24"/>
          <w:lang w:val="en-US" w:eastAsia="zh-Hans"/>
        </w:rPr>
      </w:pPr>
      <w:bookmarkStart w:id="37" w:name="_Toc100174034"/>
      <w:r>
        <w:rPr>
          <w:rStyle w:val="15"/>
          <w:rFonts w:hint="eastAsia" w:ascii="宋体" w:hAnsi="宋体" w:eastAsia="宋体" w:cs="宋体"/>
          <w:b w:val="0"/>
          <w:bCs w:val="0"/>
          <w:sz w:val="24"/>
          <w:szCs w:val="24"/>
        </w:rPr>
        <w:t>4</w:t>
      </w:r>
      <w:r>
        <w:rPr>
          <w:rStyle w:val="15"/>
          <w:rFonts w:hint="eastAsia" w:ascii="宋体" w:hAnsi="宋体" w:eastAsia="宋体" w:cs="宋体"/>
          <w:b w:val="0"/>
          <w:bCs w:val="0"/>
          <w:sz w:val="24"/>
          <w:szCs w:val="24"/>
          <w:lang w:val="en-US" w:eastAsia="zh-Hans"/>
        </w:rPr>
        <w:t>.</w:t>
      </w:r>
      <w:r>
        <w:rPr>
          <w:rStyle w:val="15"/>
          <w:rFonts w:hint="eastAsia" w:ascii="宋体" w:hAnsi="宋体" w:eastAsia="宋体" w:cs="宋体"/>
          <w:b w:val="0"/>
          <w:bCs w:val="0"/>
          <w:sz w:val="24"/>
          <w:szCs w:val="24"/>
          <w:lang w:eastAsia="zh-Hans"/>
        </w:rPr>
        <w:t xml:space="preserve">5 </w:t>
      </w:r>
      <w:r>
        <w:rPr>
          <w:rStyle w:val="15"/>
          <w:rFonts w:hint="eastAsia" w:ascii="宋体" w:hAnsi="宋体" w:eastAsia="宋体" w:cs="宋体"/>
          <w:b w:val="0"/>
          <w:bCs w:val="0"/>
          <w:sz w:val="24"/>
          <w:szCs w:val="24"/>
          <w:lang w:val="en-US" w:eastAsia="zh-Hans"/>
        </w:rPr>
        <w:t>细胞增殖和迁移试验用样品浓度的确定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根据细胞毒性试验结果</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选择无细胞毒性的高</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中</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低</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个浓度用于以下细胞增殖和迁移试验</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如果试验结果的细胞毒性在最高浓度或最低浓度表现为细胞增殖率为最大值</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建议进一步增加浓度或降低浓度重新进行细胞毒性试验</w:t>
      </w:r>
      <w:r>
        <w:rPr>
          <w:rFonts w:hint="eastAsia" w:ascii="宋体" w:hAnsi="宋体" w:eastAsia="宋体" w:cs="宋体"/>
          <w:sz w:val="24"/>
          <w:szCs w:val="24"/>
          <w:lang w:eastAsia="zh-Hans"/>
        </w:rPr>
        <w:t>。</w:t>
      </w:r>
    </w:p>
    <w:p>
      <w:pPr>
        <w:pStyle w:val="3"/>
        <w:rPr>
          <w:rStyle w:val="15"/>
          <w:rFonts w:hint="eastAsia" w:ascii="宋体" w:hAnsi="宋体" w:eastAsia="宋体" w:cs="宋体"/>
          <w:b/>
          <w:bCs/>
          <w:sz w:val="24"/>
          <w:szCs w:val="24"/>
          <w:lang w:val="en-US" w:eastAsia="zh-Hans"/>
        </w:rPr>
      </w:pPr>
      <w:r>
        <w:rPr>
          <w:rStyle w:val="15"/>
          <w:rFonts w:hint="eastAsia" w:ascii="宋体" w:hAnsi="宋体" w:eastAsia="宋体" w:cs="宋体"/>
          <w:b/>
          <w:bCs/>
          <w:sz w:val="24"/>
          <w:szCs w:val="24"/>
        </w:rPr>
        <w:t>5 细胞增殖</w:t>
      </w:r>
      <w:bookmarkEnd w:id="37"/>
      <w:r>
        <w:rPr>
          <w:rStyle w:val="15"/>
          <w:rFonts w:hint="eastAsia" w:ascii="宋体" w:hAnsi="宋体" w:eastAsia="宋体" w:cs="宋体"/>
          <w:b/>
          <w:bCs/>
          <w:sz w:val="24"/>
          <w:szCs w:val="24"/>
          <w:lang w:val="en-US" w:eastAsia="zh-Hans"/>
        </w:rPr>
        <w:t>试验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Hans"/>
        </w:rPr>
      </w:pPr>
      <w:r>
        <w:rPr>
          <w:rStyle w:val="15"/>
          <w:rFonts w:hint="eastAsia" w:ascii="宋体" w:hAnsi="宋体" w:eastAsia="宋体" w:cs="宋体"/>
          <w:b w:val="0"/>
          <w:bCs w:val="0"/>
          <w:sz w:val="24"/>
          <w:szCs w:val="24"/>
          <w:lang w:eastAsia="zh-Hans"/>
        </w:rPr>
        <w:t>5</w:t>
      </w:r>
      <w:r>
        <w:rPr>
          <w:rStyle w:val="15"/>
          <w:rFonts w:hint="eastAsia" w:ascii="宋体" w:hAnsi="宋体" w:eastAsia="宋体" w:cs="宋体"/>
          <w:b w:val="0"/>
          <w:bCs w:val="0"/>
          <w:sz w:val="24"/>
          <w:szCs w:val="24"/>
          <w:lang w:val="en-US" w:eastAsia="zh-Hans"/>
        </w:rPr>
        <w:t>.</w:t>
      </w:r>
      <w:r>
        <w:rPr>
          <w:rStyle w:val="15"/>
          <w:rFonts w:hint="eastAsia" w:ascii="宋体" w:hAnsi="宋体" w:eastAsia="宋体" w:cs="宋体"/>
          <w:b w:val="0"/>
          <w:bCs w:val="0"/>
          <w:sz w:val="24"/>
          <w:szCs w:val="24"/>
          <w:lang w:eastAsia="zh-Hans"/>
        </w:rPr>
        <w:t xml:space="preserve">1 </w:t>
      </w:r>
      <w:r>
        <w:rPr>
          <w:rStyle w:val="15"/>
          <w:rFonts w:hint="eastAsia" w:ascii="宋体" w:hAnsi="宋体" w:eastAsia="宋体" w:cs="宋体"/>
          <w:b w:val="0"/>
          <w:bCs w:val="0"/>
          <w:sz w:val="24"/>
          <w:szCs w:val="24"/>
          <w:lang w:val="en-US" w:eastAsia="zh-Hans"/>
        </w:rPr>
        <w:t>试验原理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Hans"/>
        </w:rPr>
      </w:pPr>
      <w:r>
        <w:rPr>
          <w:rFonts w:hint="eastAsia" w:ascii="宋体" w:hAnsi="宋体" w:eastAsia="宋体" w:cs="宋体"/>
          <w:sz w:val="24"/>
          <w:szCs w:val="24"/>
          <w:lang w:val="en-US" w:eastAsia="zh-Hans"/>
        </w:rPr>
        <w:t>本试验采用在无血清培养基条件下测定细胞增殖的情况</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以无血清培养基为空白对照</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含有血清培养基为阳性对照</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如果材料具有促进细胞增殖的作用</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则和空白对照相比具有明显细胞增殖的</w:t>
      </w:r>
      <w:r>
        <w:rPr>
          <w:rFonts w:hint="eastAsia" w:ascii="宋体" w:hAnsi="宋体" w:cs="宋体"/>
          <w:sz w:val="24"/>
          <w:szCs w:val="24"/>
          <w:lang w:val="en-US" w:eastAsia="zh-CN"/>
        </w:rPr>
        <w:t>反应</w:t>
      </w:r>
      <w:r>
        <w:rPr>
          <w:rFonts w:hint="eastAsia" w:ascii="宋体" w:hAnsi="宋体" w:eastAsia="宋体" w:cs="宋体"/>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15"/>
          <w:rFonts w:hint="eastAsia" w:ascii="宋体" w:hAnsi="宋体" w:eastAsia="宋体" w:cs="宋体"/>
          <w:b w:val="0"/>
          <w:bCs w:val="0"/>
          <w:sz w:val="24"/>
          <w:szCs w:val="24"/>
          <w:lang w:val="en-US" w:eastAsia="zh-Hans"/>
        </w:rPr>
      </w:pPr>
      <w:r>
        <w:rPr>
          <w:rStyle w:val="15"/>
          <w:rFonts w:hint="eastAsia" w:ascii="宋体" w:hAnsi="宋体" w:eastAsia="宋体" w:cs="宋体"/>
          <w:b w:val="0"/>
          <w:bCs w:val="0"/>
          <w:sz w:val="24"/>
          <w:szCs w:val="24"/>
          <w:lang w:eastAsia="zh-Hans"/>
        </w:rPr>
        <w:t>5</w:t>
      </w:r>
      <w:r>
        <w:rPr>
          <w:rStyle w:val="15"/>
          <w:rFonts w:hint="eastAsia" w:ascii="宋体" w:hAnsi="宋体" w:eastAsia="宋体" w:cs="宋体"/>
          <w:b w:val="0"/>
          <w:bCs w:val="0"/>
          <w:sz w:val="24"/>
          <w:szCs w:val="24"/>
          <w:lang w:val="en-US" w:eastAsia="zh-Hans"/>
        </w:rPr>
        <w:t>.</w:t>
      </w:r>
      <w:r>
        <w:rPr>
          <w:rStyle w:val="15"/>
          <w:rFonts w:hint="eastAsia" w:ascii="宋体" w:hAnsi="宋体" w:eastAsia="宋体" w:cs="宋体"/>
          <w:b w:val="0"/>
          <w:bCs w:val="0"/>
          <w:sz w:val="24"/>
          <w:szCs w:val="24"/>
          <w:lang w:eastAsia="zh-Hans"/>
        </w:rPr>
        <w:t xml:space="preserve">2 </w:t>
      </w:r>
      <w:r>
        <w:rPr>
          <w:rStyle w:val="15"/>
          <w:rFonts w:hint="eastAsia" w:ascii="宋体" w:hAnsi="宋体" w:eastAsia="宋体" w:cs="宋体"/>
          <w:b w:val="0"/>
          <w:bCs w:val="0"/>
          <w:sz w:val="24"/>
          <w:szCs w:val="24"/>
          <w:lang w:val="en-US" w:eastAsia="zh-Hans"/>
        </w:rPr>
        <w:t>器具</w:t>
      </w:r>
      <w:r>
        <w:rPr>
          <w:rStyle w:val="15"/>
          <w:rFonts w:hint="eastAsia" w:ascii="宋体" w:hAnsi="宋体" w:eastAsia="宋体" w:cs="宋体"/>
          <w:b w:val="0"/>
          <w:bCs w:val="0"/>
          <w:sz w:val="24"/>
          <w:szCs w:val="24"/>
          <w:lang w:eastAsia="zh-Hans"/>
        </w:rPr>
        <w:t>、</w:t>
      </w:r>
      <w:r>
        <w:rPr>
          <w:rStyle w:val="15"/>
          <w:rFonts w:hint="eastAsia" w:ascii="宋体" w:hAnsi="宋体" w:eastAsia="宋体" w:cs="宋体"/>
          <w:b w:val="0"/>
          <w:bCs w:val="0"/>
          <w:sz w:val="24"/>
          <w:szCs w:val="24"/>
          <w:lang w:val="en-US" w:eastAsia="zh-Hans"/>
        </w:rPr>
        <w:t>试剂和耗材</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15"/>
          <w:rFonts w:hint="eastAsia" w:ascii="宋体" w:hAnsi="宋体" w:eastAsia="宋体" w:cs="宋体"/>
          <w:b w:val="0"/>
          <w:bCs w:val="0"/>
          <w:sz w:val="24"/>
          <w:szCs w:val="24"/>
          <w:lang w:eastAsia="zh-Hans"/>
        </w:rPr>
      </w:pPr>
      <w:r>
        <w:rPr>
          <w:rStyle w:val="15"/>
          <w:rFonts w:hint="eastAsia" w:ascii="宋体" w:hAnsi="宋体" w:eastAsia="宋体" w:cs="宋体"/>
          <w:b w:val="0"/>
          <w:bCs w:val="0"/>
          <w:sz w:val="24"/>
          <w:szCs w:val="24"/>
          <w:lang w:eastAsia="zh-Hans"/>
        </w:rPr>
        <w:t>5</w:t>
      </w:r>
      <w:r>
        <w:rPr>
          <w:rStyle w:val="15"/>
          <w:rFonts w:hint="eastAsia" w:ascii="宋体" w:hAnsi="宋体" w:eastAsia="宋体" w:cs="宋体"/>
          <w:b w:val="0"/>
          <w:bCs w:val="0"/>
          <w:sz w:val="24"/>
          <w:szCs w:val="24"/>
          <w:lang w:val="en-US" w:eastAsia="zh-Hans"/>
        </w:rPr>
        <w:t>.</w:t>
      </w:r>
      <w:r>
        <w:rPr>
          <w:rStyle w:val="15"/>
          <w:rFonts w:hint="eastAsia" w:ascii="宋体" w:hAnsi="宋体" w:eastAsia="宋体" w:cs="宋体"/>
          <w:b w:val="0"/>
          <w:bCs w:val="0"/>
          <w:sz w:val="24"/>
          <w:szCs w:val="24"/>
          <w:lang w:eastAsia="zh-Hans"/>
        </w:rPr>
        <w:t>2</w:t>
      </w:r>
      <w:r>
        <w:rPr>
          <w:rStyle w:val="15"/>
          <w:rFonts w:hint="eastAsia" w:ascii="宋体" w:hAnsi="宋体" w:eastAsia="宋体" w:cs="宋体"/>
          <w:b w:val="0"/>
          <w:bCs w:val="0"/>
          <w:sz w:val="24"/>
          <w:szCs w:val="24"/>
          <w:lang w:val="en-US" w:eastAsia="zh-Hans"/>
        </w:rPr>
        <w:t>.</w:t>
      </w:r>
      <w:r>
        <w:rPr>
          <w:rStyle w:val="15"/>
          <w:rFonts w:hint="eastAsia" w:ascii="宋体" w:hAnsi="宋体" w:eastAsia="宋体" w:cs="宋体"/>
          <w:b w:val="0"/>
          <w:bCs w:val="0"/>
          <w:sz w:val="24"/>
          <w:szCs w:val="24"/>
          <w:lang w:eastAsia="zh-Hans"/>
        </w:rPr>
        <w:t>1</w:t>
      </w:r>
      <w:r>
        <w:rPr>
          <w:rFonts w:hint="eastAsia" w:ascii="宋体" w:hAnsi="宋体" w:eastAsia="宋体" w:cs="宋体"/>
          <w:sz w:val="24"/>
          <w:szCs w:val="24"/>
        </w:rPr>
        <w:t>二氧化碳细胞培养箱、恒温水浴摇床、高压蒸汽灭菌锅、倒置荧光显微镜、细胞计数仪、恒温水浴摇床、酶标仪、电子天平、液氮罐、冷冻离心机、96孔板、细胞培养瓶</w:t>
      </w:r>
      <w:r>
        <w:rPr>
          <w:rFonts w:hint="eastAsia" w:ascii="宋体" w:hAnsi="宋体" w:cs="宋体"/>
          <w:sz w:val="24"/>
          <w:szCs w:val="24"/>
          <w:lang w:val="en-US" w:eastAsia="zh-CN"/>
        </w:rPr>
        <w:t>或细胞培养皿</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Style w:val="15"/>
          <w:rFonts w:hint="eastAsia" w:ascii="宋体" w:hAnsi="宋体" w:eastAsia="宋体" w:cs="宋体"/>
          <w:b w:val="0"/>
          <w:bCs w:val="0"/>
          <w:sz w:val="24"/>
          <w:szCs w:val="24"/>
          <w:lang w:eastAsia="zh-Hans"/>
        </w:rPr>
        <w:t>5</w:t>
      </w:r>
      <w:r>
        <w:rPr>
          <w:rStyle w:val="15"/>
          <w:rFonts w:hint="eastAsia" w:ascii="宋体" w:hAnsi="宋体" w:eastAsia="宋体" w:cs="宋体"/>
          <w:b w:val="0"/>
          <w:bCs w:val="0"/>
          <w:sz w:val="24"/>
          <w:szCs w:val="24"/>
          <w:lang w:val="en-US" w:eastAsia="zh-Hans"/>
        </w:rPr>
        <w:t>.</w:t>
      </w:r>
      <w:r>
        <w:rPr>
          <w:rStyle w:val="15"/>
          <w:rFonts w:hint="eastAsia" w:ascii="宋体" w:hAnsi="宋体" w:eastAsia="宋体" w:cs="宋体"/>
          <w:b w:val="0"/>
          <w:bCs w:val="0"/>
          <w:sz w:val="24"/>
          <w:szCs w:val="24"/>
          <w:lang w:eastAsia="zh-Hans"/>
        </w:rPr>
        <w:t>2</w:t>
      </w:r>
      <w:r>
        <w:rPr>
          <w:rStyle w:val="15"/>
          <w:rFonts w:hint="eastAsia" w:ascii="宋体" w:hAnsi="宋体" w:eastAsia="宋体" w:cs="宋体"/>
          <w:b w:val="0"/>
          <w:bCs w:val="0"/>
          <w:sz w:val="24"/>
          <w:szCs w:val="24"/>
          <w:lang w:val="en-US" w:eastAsia="zh-Hans"/>
        </w:rPr>
        <w:t>.</w:t>
      </w:r>
      <w:r>
        <w:rPr>
          <w:rStyle w:val="15"/>
          <w:rFonts w:hint="eastAsia" w:ascii="宋体" w:hAnsi="宋体" w:eastAsia="宋体" w:cs="宋体"/>
          <w:b w:val="0"/>
          <w:bCs w:val="0"/>
          <w:sz w:val="24"/>
          <w:szCs w:val="24"/>
          <w:lang w:eastAsia="zh-Hans"/>
        </w:rPr>
        <w:t xml:space="preserve">2 </w:t>
      </w:r>
      <w:r>
        <w:rPr>
          <w:rStyle w:val="15"/>
          <w:rFonts w:hint="eastAsia" w:ascii="宋体" w:hAnsi="宋体" w:eastAsia="宋体" w:cs="宋体"/>
          <w:b w:val="0"/>
          <w:bCs w:val="0"/>
          <w:sz w:val="24"/>
          <w:szCs w:val="24"/>
          <w:lang w:val="en-US" w:eastAsia="zh-Hans"/>
        </w:rPr>
        <w:t>试剂和耗材</w:t>
      </w:r>
      <w:r>
        <w:rPr>
          <w:rStyle w:val="15"/>
          <w:rFonts w:hint="eastAsia" w:ascii="宋体" w:hAnsi="宋体" w:eastAsia="宋体" w:cs="宋体"/>
          <w:b w:val="0"/>
          <w:bCs w:val="0"/>
          <w:sz w:val="24"/>
          <w:szCs w:val="24"/>
          <w:lang w:eastAsia="zh-Hans"/>
        </w:rPr>
        <w:t>：</w:t>
      </w:r>
      <w:r>
        <w:rPr>
          <w:rFonts w:hint="eastAsia" w:ascii="宋体" w:hAnsi="宋体" w:eastAsia="宋体" w:cs="宋体"/>
          <w:sz w:val="24"/>
          <w:szCs w:val="24"/>
        </w:rPr>
        <w:t>DMEM低糖培养基、胎牛血清(FBS)、</w:t>
      </w:r>
      <w:r>
        <w:rPr>
          <w:rFonts w:hint="eastAsia" w:ascii="宋体" w:hAnsi="宋体" w:eastAsia="宋体" w:cs="宋体"/>
          <w:sz w:val="24"/>
          <w:szCs w:val="24"/>
          <w:lang w:val="en-US" w:eastAsia="zh-Hans"/>
        </w:rPr>
        <w:t>PBS</w:t>
      </w:r>
      <w:r>
        <w:rPr>
          <w:rFonts w:hint="eastAsia" w:ascii="宋体" w:hAnsi="宋体" w:eastAsia="宋体" w:cs="宋体"/>
          <w:sz w:val="24"/>
          <w:szCs w:val="24"/>
          <w:lang w:eastAsia="zh-Hans"/>
        </w:rPr>
        <w:t>、</w:t>
      </w:r>
      <w:r>
        <w:rPr>
          <w:rFonts w:hint="eastAsia" w:ascii="宋体" w:hAnsi="宋体" w:eastAsia="宋体" w:cs="宋体"/>
          <w:sz w:val="24"/>
          <w:szCs w:val="24"/>
        </w:rPr>
        <w:t>Penicillin-Streptomycin、0.25%胰蛋白酶、CCK-8</w:t>
      </w:r>
      <w:r>
        <w:rPr>
          <w:rFonts w:hint="eastAsia" w:ascii="宋体" w:hAnsi="宋体" w:eastAsia="宋体" w:cs="宋体"/>
          <w:sz w:val="24"/>
          <w:szCs w:val="24"/>
          <w:lang w:val="en-US" w:eastAsia="zh-Hans"/>
        </w:rPr>
        <w:t>试剂</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5</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2</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 xml:space="preserve">3 </w:t>
      </w:r>
      <w:r>
        <w:rPr>
          <w:rFonts w:hint="eastAsia" w:ascii="宋体" w:hAnsi="宋体" w:eastAsia="宋体" w:cs="宋体"/>
          <w:sz w:val="24"/>
          <w:szCs w:val="24"/>
          <w:lang w:val="en-US" w:eastAsia="zh-Hans"/>
        </w:rPr>
        <w:t>细胞系</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成纤维细胞</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皮肤上皮细胞</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食管上皮细胞</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胃黏膜上皮细胞</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肠黏膜上皮细胞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5</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 xml:space="preserve">3 </w:t>
      </w:r>
      <w:r>
        <w:rPr>
          <w:rFonts w:hint="eastAsia" w:ascii="宋体" w:hAnsi="宋体" w:eastAsia="宋体" w:cs="宋体"/>
          <w:sz w:val="24"/>
          <w:szCs w:val="24"/>
          <w:lang w:val="en-US" w:eastAsia="zh-Hans"/>
        </w:rPr>
        <w:t>样品制备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5</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 xml:space="preserve">1 </w:t>
      </w:r>
      <w:r>
        <w:rPr>
          <w:rFonts w:hint="eastAsia" w:ascii="宋体" w:hAnsi="宋体" w:cs="宋体"/>
          <w:sz w:val="24"/>
          <w:szCs w:val="24"/>
          <w:lang w:val="en-US" w:eastAsia="zh-CN"/>
        </w:rPr>
        <w:t>试验</w:t>
      </w:r>
      <w:r>
        <w:rPr>
          <w:rFonts w:hint="eastAsia" w:ascii="宋体" w:hAnsi="宋体" w:eastAsia="宋体" w:cs="宋体"/>
          <w:sz w:val="24"/>
          <w:szCs w:val="24"/>
          <w:lang w:val="en-US" w:eastAsia="zh-Hans"/>
        </w:rPr>
        <w:t>样品的制备</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按照细胞毒性试验确认的三个浓度称取样品溶解在无血清培养基中</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完全溶解过滤除菌备用</w:t>
      </w:r>
      <w:r>
        <w:rPr>
          <w:rFonts w:hint="eastAsia" w:ascii="宋体" w:hAnsi="宋体" w:eastAsia="宋体" w:cs="宋体"/>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2</w:t>
      </w:r>
      <w:r>
        <w:rPr>
          <w:rFonts w:hint="eastAsia" w:ascii="宋体" w:hAnsi="宋体" w:eastAsia="宋体" w:cs="宋体"/>
          <w:sz w:val="24"/>
          <w:szCs w:val="24"/>
        </w:rPr>
        <w:t>阳性对照：</w:t>
      </w:r>
      <w:r>
        <w:rPr>
          <w:rFonts w:hint="eastAsia" w:ascii="宋体" w:hAnsi="宋体" w:cs="宋体"/>
          <w:sz w:val="24"/>
          <w:szCs w:val="24"/>
          <w:lang w:val="en-US" w:eastAsia="zh-CN"/>
        </w:rPr>
        <w:t>含</w:t>
      </w:r>
      <w:r>
        <w:rPr>
          <w:rFonts w:hint="eastAsia" w:ascii="宋体" w:hAnsi="宋体" w:eastAsia="宋体" w:cs="宋体"/>
          <w:sz w:val="24"/>
          <w:szCs w:val="24"/>
        </w:rPr>
        <w:t>10%</w:t>
      </w:r>
      <w:r>
        <w:rPr>
          <w:rFonts w:hint="eastAsia" w:ascii="宋体" w:hAnsi="宋体" w:eastAsia="宋体" w:cs="宋体"/>
          <w:sz w:val="24"/>
          <w:szCs w:val="24"/>
          <w:lang w:val="en-US" w:eastAsia="zh-Hans"/>
        </w:rPr>
        <w:t>血清培养基</w:t>
      </w:r>
      <w:r>
        <w:rPr>
          <w:rFonts w:hint="eastAsia" w:ascii="宋体" w:hAnsi="宋体" w:eastAsia="宋体" w:cs="宋体"/>
          <w:sz w:val="24"/>
          <w:szCs w:val="24"/>
        </w:rPr>
        <w:t>，37℃、120 r/min摇床中震荡24小时。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rPr>
        <w:t>空白对照：</w:t>
      </w:r>
      <w:r>
        <w:rPr>
          <w:rFonts w:hint="eastAsia" w:ascii="宋体" w:hAnsi="宋体" w:eastAsia="宋体" w:cs="宋体"/>
          <w:sz w:val="24"/>
          <w:szCs w:val="24"/>
          <w:lang w:val="en-US" w:eastAsia="zh-Hans"/>
        </w:rPr>
        <w:t>无血清</w:t>
      </w:r>
      <w:r>
        <w:rPr>
          <w:rFonts w:hint="eastAsia" w:ascii="宋体" w:hAnsi="宋体" w:eastAsia="宋体" w:cs="宋体"/>
          <w:sz w:val="24"/>
          <w:szCs w:val="24"/>
        </w:rPr>
        <w:t>培养基，37℃、120 r/min摇床中震荡24小时。</w:t>
      </w:r>
    </w:p>
    <w:p>
      <w:pPr>
        <w:spacing w:line="400" w:lineRule="exact"/>
        <w:jc w:val="both"/>
        <w:rPr>
          <w:rFonts w:hint="eastAsia" w:ascii="宋体" w:hAnsi="宋体" w:eastAsia="宋体" w:cs="宋体"/>
          <w:b/>
          <w:bCs/>
          <w:sz w:val="24"/>
          <w:szCs w:val="24"/>
        </w:rPr>
      </w:pPr>
      <w:r>
        <w:rPr>
          <w:rFonts w:hint="eastAsia" w:ascii="宋体" w:hAnsi="宋体" w:eastAsia="宋体" w:cs="宋体"/>
          <w:sz w:val="24"/>
          <w:szCs w:val="24"/>
        </w:rPr>
        <w:t>5.4细</w:t>
      </w:r>
      <w:r>
        <w:rPr>
          <w:rFonts w:hint="eastAsia" w:ascii="宋体" w:hAnsi="宋体" w:eastAsia="宋体" w:cs="宋体"/>
          <w:b w:val="0"/>
          <w:bCs w:val="0"/>
          <w:sz w:val="24"/>
          <w:szCs w:val="24"/>
        </w:rPr>
        <w:t>胞增殖</w:t>
      </w:r>
      <w:r>
        <w:rPr>
          <w:rFonts w:hint="eastAsia" w:ascii="宋体" w:hAnsi="宋体" w:eastAsia="宋体" w:cs="宋体"/>
          <w:b w:val="0"/>
          <w:bCs w:val="0"/>
          <w:sz w:val="24"/>
          <w:szCs w:val="24"/>
          <w:lang w:val="en-US" w:eastAsia="zh-Hans"/>
        </w:rPr>
        <w:t>试验</w:t>
      </w:r>
      <w:r>
        <w:rPr>
          <w:rFonts w:hint="eastAsia" w:ascii="宋体" w:hAnsi="宋体" w:eastAsia="宋体" w:cs="宋体"/>
          <w:b w:val="0"/>
          <w:bCs w:val="0"/>
          <w:sz w:val="24"/>
          <w:szCs w:val="24"/>
        </w:rPr>
        <w:t>步骤</w:t>
      </w:r>
    </w:p>
    <w:p>
      <w:pPr>
        <w:spacing w:line="400" w:lineRule="exact"/>
        <w:ind w:firstLine="480"/>
        <w:jc w:val="both"/>
        <w:rPr>
          <w:rFonts w:hint="eastAsia" w:ascii="宋体" w:hAnsi="宋体" w:eastAsia="宋体" w:cs="宋体"/>
          <w:sz w:val="24"/>
          <w:szCs w:val="24"/>
        </w:rPr>
      </w:pPr>
      <w:r>
        <w:rPr>
          <w:rFonts w:hint="eastAsia" w:ascii="宋体" w:hAnsi="宋体" w:eastAsia="宋体" w:cs="宋体"/>
          <w:sz w:val="24"/>
          <w:szCs w:val="24"/>
        </w:rPr>
        <w:t>将在对数生长期内的细胞按照1×10</w:t>
      </w:r>
      <w:r>
        <w:rPr>
          <w:rFonts w:hint="eastAsia" w:ascii="宋体" w:hAnsi="宋体" w:eastAsia="宋体" w:cs="宋体"/>
          <w:sz w:val="24"/>
          <w:szCs w:val="24"/>
          <w:vertAlign w:val="superscript"/>
        </w:rPr>
        <w:t>5</w:t>
      </w:r>
      <w:r>
        <w:rPr>
          <w:rFonts w:hint="eastAsia" w:ascii="宋体" w:hAnsi="宋体" w:eastAsia="宋体" w:cs="宋体"/>
          <w:sz w:val="24"/>
          <w:szCs w:val="24"/>
        </w:rPr>
        <w:t>个/mL的细胞密度加入到96孔板内，每孔100 μL。在细胞培养箱中培养24小时后弃去旧培养基，</w:t>
      </w:r>
      <w:r>
        <w:rPr>
          <w:rFonts w:hint="eastAsia" w:ascii="宋体" w:hAnsi="宋体" w:eastAsia="宋体" w:cs="宋体"/>
          <w:sz w:val="24"/>
          <w:szCs w:val="24"/>
          <w:lang w:eastAsia="zh-Hans"/>
        </w:rPr>
        <w:t>按照表2加入对照组和实验组溶液</w:t>
      </w:r>
      <w:r>
        <w:rPr>
          <w:rFonts w:hint="eastAsia" w:ascii="宋体" w:hAnsi="宋体" w:eastAsia="宋体" w:cs="宋体"/>
          <w:sz w:val="24"/>
          <w:szCs w:val="24"/>
        </w:rPr>
        <w:t>。</w:t>
      </w:r>
      <w:r>
        <w:rPr>
          <w:rFonts w:hint="eastAsia" w:ascii="宋体" w:hAnsi="宋体" w:eastAsia="宋体" w:cs="宋体"/>
          <w:sz w:val="24"/>
          <w:szCs w:val="24"/>
          <w:lang w:eastAsia="zh-Hans"/>
        </w:rPr>
        <w:t>于</w:t>
      </w:r>
      <w:r>
        <w:rPr>
          <w:rFonts w:hint="eastAsia" w:ascii="宋体" w:hAnsi="宋体" w:eastAsia="宋体" w:cs="宋体"/>
          <w:sz w:val="24"/>
          <w:szCs w:val="24"/>
        </w:rPr>
        <w:t>24小时，48小时和72小时分别观察细胞增殖情况，弃去孔内液体，加入配制好的CCK-8溶液，放入培养箱内孵育3小时。孵育结束使用酶标仪测量450 nm的吸光度值，按照公式</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计算细胞增殖率，评估试验样品溶液不同浓度对细胞的增殖作用，并筛选出最佳增殖浓度。</w:t>
      </w:r>
    </w:p>
    <w:p>
      <w:pPr>
        <w:pStyle w:val="6"/>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1485900</wp:posOffset>
                </wp:positionH>
                <wp:positionV relativeFrom="paragraph">
                  <wp:posOffset>83185</wp:posOffset>
                </wp:positionV>
                <wp:extent cx="635" cy="0"/>
                <wp:effectExtent l="0" t="6350" r="0" b="63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6.55pt;height:0pt;width:0.05pt;z-index:251663360;mso-width-relative:page;mso-height-relative:page;" filled="f" stroked="t" coordsize="21600,21600" o:gfxdata="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tndbr0wAAAAkBAAAPAAAAAAAAAAEAIAAAADgAAABkcnMvZG93bnJldi54bWxQSwECFAAU&#10;AAAACACHTuJAwD28ZOABAACmAwAADgAAAAAAAAABACAAAAA4AQAAZHJzL2Uyb0RvYy54bWxQSwUG&#10;AAAAAAYABgBZAQAAigUAAAAA&#10;">
                <v:fill on="f" focussize="0,0"/>
                <v:stroke color="#000000" joinstyle="round"/>
                <v:imagedata o:title=""/>
                <o:lock v:ext="edit" aspectratio="f"/>
              </v:line>
            </w:pict>
          </mc:Fallback>
        </mc:AlternateContent>
      </w:r>
      <w:r>
        <w:rPr>
          <w:rFonts w:hint="eastAsia" w:ascii="宋体" w:hAnsi="宋体" w:eastAsia="宋体" w:cs="宋体"/>
          <w:sz w:val="24"/>
          <w:szCs w:val="24"/>
          <w:lang w:val="en-US" w:eastAsia="zh-CN"/>
        </w:rPr>
        <w:t>细胞增殖率(%)=</w:t>
      </w:r>
      <w:r>
        <w:rPr>
          <w:rFonts w:hint="eastAsia" w:ascii="宋体" w:hAnsi="宋体" w:eastAsia="宋体" w:cs="宋体"/>
          <w:sz w:val="24"/>
          <w:szCs w:val="24"/>
        </w:rPr>
        <w:t xml:space="preserve"> </w:t>
      </w:r>
      <m:oMath>
        <m:r>
          <m:rPr>
            <m:sty m:val="p"/>
          </m:rPr>
          <w:rPr>
            <w:rFonts w:hint="default" w:ascii="DejaVu Math TeX Gyre" w:hAnsi="DejaVu Math TeX Gyre" w:eastAsia="宋体" w:cs="宋体"/>
            <w:sz w:val="24"/>
            <w:szCs w:val="24"/>
            <w:lang w:val="en-US" w:eastAsia="zh-CN"/>
          </w:rPr>
          <m:t>(</m:t>
        </m:r>
        <m:r>
          <m:rPr>
            <m:sty m:val="p"/>
          </m:rPr>
          <w:rPr>
            <w:rFonts w:hint="eastAsia" w:ascii="DejaVu Math TeX Gyre" w:hAnsi="DejaVu Math TeX Gyre" w:eastAsia="宋体" w:cs="宋体"/>
            <w:sz w:val="24"/>
            <w:szCs w:val="24"/>
            <w:lang w:val="en-US" w:eastAsia="zh-CN"/>
          </w:rPr>
          <m:t>试验组A</m:t>
        </m:r>
        <m:r>
          <m:rPr>
            <m:sty m:val="p"/>
          </m:rPr>
          <w:rPr>
            <w:rFonts w:hint="default" w:ascii="DejaVu Math TeX Gyre" w:hAnsi="DejaVu Math TeX Gyre" w:eastAsia="宋体" w:cs="宋体"/>
            <w:sz w:val="24"/>
            <w:szCs w:val="24"/>
            <w:lang w:val="en-US" w:eastAsia="zh-CN"/>
          </w:rPr>
          <m:t>/</m:t>
        </m:r>
        <m:r>
          <m:rPr>
            <m:sty m:val="p"/>
          </m:rPr>
          <w:rPr>
            <w:rFonts w:hint="eastAsia" w:ascii="DejaVu Math TeX Gyre" w:hAnsi="DejaVu Math TeX Gyre" w:eastAsia="宋体" w:cs="宋体"/>
            <w:sz w:val="24"/>
            <w:szCs w:val="24"/>
          </w:rPr>
          <m:t xml:space="preserve"> </m:t>
        </m:r>
        <m:r>
          <m:rPr>
            <m:sty m:val="p"/>
          </m:rPr>
          <w:rPr>
            <w:rFonts w:hint="eastAsia" w:ascii="DejaVu Math TeX Gyre" w:hAnsi="DejaVu Math TeX Gyre" w:eastAsia="宋体" w:cs="宋体"/>
            <w:sz w:val="24"/>
            <w:szCs w:val="24"/>
            <w:lang w:val="en-US" w:eastAsia="zh-CN"/>
          </w:rPr>
          <m:t>空白对照B</m:t>
        </m:r>
        <m:r>
          <m:rPr>
            <m:sty m:val="p"/>
          </m:rPr>
          <w:rPr>
            <w:rFonts w:hint="default" w:ascii="DejaVu Math TeX Gyre" w:hAnsi="DejaVu Math TeX Gyre" w:eastAsia="宋体" w:cs="宋体"/>
            <w:sz w:val="24"/>
            <w:szCs w:val="24"/>
            <w:lang w:val="en-US" w:eastAsia="zh-CN"/>
          </w:rPr>
          <m:t>)</m:t>
        </m:r>
        <m:r>
          <m:rPr>
            <m:sty m:val="p"/>
          </m:rPr>
          <w:rPr>
            <w:rFonts w:hint="eastAsia" w:ascii="DejaVu Math TeX Gyre" w:hAnsi="DejaVu Math TeX Gyre" w:eastAsia="宋体" w:cs="宋体"/>
            <w:sz w:val="24"/>
            <w:szCs w:val="24"/>
          </w:rPr>
          <m:t>×100%</m:t>
        </m:r>
      </m:oMath>
      <w:r>
        <w:rPr>
          <w:rFonts w:hint="eastAsia" w:ascii="宋体" w:hAnsi="宋体" w:eastAsia="宋体" w:cs="宋体"/>
          <w:sz w:val="24"/>
          <w:szCs w:val="24"/>
          <w:lang w:eastAsia="zh-CN"/>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Cs/>
          <w:sz w:val="24"/>
          <w:szCs w:val="24"/>
          <w:lang w:val="en-US" w:eastAsia="zh-CN"/>
        </w:rPr>
        <w:t>式</w:t>
      </w:r>
      <w:r>
        <w:rPr>
          <w:rFonts w:hint="eastAsia" w:hAnsi="宋体" w:eastAsia="宋体" w:cs="宋体"/>
          <w:bCs/>
          <w:sz w:val="24"/>
          <w:szCs w:val="24"/>
          <w:lang w:val="en-US" w:eastAsia="zh-CN"/>
        </w:rPr>
        <w:t>1</w:t>
      </w:r>
      <w:r>
        <w:rPr>
          <w:rFonts w:hint="eastAsia" w:ascii="宋体" w:hAnsi="宋体" w:eastAsia="宋体" w:cs="宋体"/>
          <w:bCs/>
          <w:sz w:val="24"/>
          <w:szCs w:val="24"/>
          <w:lang w:val="en-US" w:eastAsia="zh-CN"/>
        </w:rPr>
        <w:t>-</w:t>
      </w:r>
      <w:r>
        <w:rPr>
          <w:rFonts w:hint="eastAsia" w:hAnsi="宋体" w:eastAsia="宋体" w:cs="宋体"/>
          <w:bCs/>
          <w:sz w:val="24"/>
          <w:szCs w:val="24"/>
          <w:lang w:val="en-US" w:eastAsia="zh-CN"/>
        </w:rPr>
        <w:t>2</w:t>
      </w:r>
    </w:p>
    <w:p>
      <w:pPr>
        <w:spacing w:line="400" w:lineRule="exact"/>
        <w:ind w:firstLine="482"/>
        <w:jc w:val="both"/>
        <w:rPr>
          <w:rFonts w:hint="eastAsia" w:ascii="宋体" w:hAnsi="宋体" w:eastAsia="宋体" w:cs="宋体"/>
          <w:sz w:val="24"/>
          <w:szCs w:val="24"/>
        </w:rPr>
      </w:pPr>
      <w:r>
        <w:rPr>
          <w:rFonts w:hint="eastAsia" w:ascii="宋体" w:hAnsi="宋体" w:eastAsia="宋体" w:cs="宋体"/>
          <w:sz w:val="24"/>
          <w:szCs w:val="24"/>
        </w:rPr>
        <w:t>A ──不同</w:t>
      </w:r>
      <w:r>
        <w:rPr>
          <w:rFonts w:hint="eastAsia" w:ascii="宋体" w:hAnsi="宋体" w:eastAsia="宋体" w:cs="宋体"/>
          <w:sz w:val="24"/>
          <w:szCs w:val="24"/>
          <w:lang w:val="en-US" w:eastAsia="zh-CN"/>
        </w:rPr>
        <w:t>浓度样品</w:t>
      </w:r>
      <w:r>
        <w:rPr>
          <w:rFonts w:hint="eastAsia" w:ascii="宋体" w:hAnsi="宋体" w:eastAsia="宋体" w:cs="宋体"/>
          <w:sz w:val="24"/>
          <w:szCs w:val="24"/>
        </w:rPr>
        <w:t>组(阳性对照组)平均吸光度</w:t>
      </w:r>
    </w:p>
    <w:p>
      <w:pPr>
        <w:spacing w:line="400" w:lineRule="exact"/>
        <w:ind w:firstLine="482"/>
        <w:jc w:val="both"/>
        <w:rPr>
          <w:rFonts w:hint="eastAsia" w:ascii="宋体" w:hAnsi="宋体" w:eastAsia="宋体" w:cs="宋体"/>
          <w:sz w:val="24"/>
          <w:szCs w:val="24"/>
        </w:rPr>
      </w:pPr>
      <w:r>
        <w:rPr>
          <w:rFonts w:hint="eastAsia" w:ascii="宋体" w:hAnsi="宋体" w:eastAsia="宋体" w:cs="宋体"/>
          <w:sz w:val="24"/>
          <w:szCs w:val="24"/>
        </w:rPr>
        <w:t>B ──空白对照组平均吸光度</w:t>
      </w:r>
    </w:p>
    <w:p>
      <w:pPr>
        <w:spacing w:before="163" w:beforeLines="50" w:line="400" w:lineRule="exact"/>
        <w:jc w:val="center"/>
        <w:rPr>
          <w:rFonts w:hint="eastAsia" w:ascii="宋体" w:hAnsi="宋体" w:eastAsia="宋体" w:cs="宋体"/>
          <w:b w:val="0"/>
          <w:bCs/>
          <w:sz w:val="24"/>
          <w:szCs w:val="24"/>
          <w:lang w:eastAsia="zh-Hans"/>
        </w:rPr>
      </w:pPr>
      <w:r>
        <w:rPr>
          <w:rFonts w:hint="eastAsia" w:ascii="宋体" w:hAnsi="宋体" w:eastAsia="宋体" w:cs="宋体"/>
          <w:b w:val="0"/>
          <w:bCs/>
          <w:sz w:val="24"/>
          <w:szCs w:val="24"/>
        </w:rPr>
        <w:t>表2 细胞增殖</w:t>
      </w:r>
      <w:r>
        <w:rPr>
          <w:rFonts w:hint="eastAsia" w:ascii="宋体" w:hAnsi="宋体" w:eastAsia="宋体" w:cs="宋体"/>
          <w:b w:val="0"/>
          <w:bCs/>
          <w:sz w:val="24"/>
          <w:szCs w:val="24"/>
          <w:lang w:val="en-US" w:eastAsia="zh-Hans"/>
        </w:rPr>
        <w:t>试验</w:t>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10"/>
        <w:gridCol w:w="3267"/>
        <w:gridCol w:w="1431"/>
        <w:gridCol w:w="2147"/>
        <w:gridCol w:w="1507"/>
      </w:tblGrid>
      <w:tr>
        <w:trPr>
          <w:trHeight w:val="333" w:hRule="atLeast"/>
          <w:jc w:val="center"/>
        </w:trPr>
        <w:tc>
          <w:tcPr>
            <w:tcW w:w="808"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实验分组</w:t>
            </w:r>
          </w:p>
        </w:tc>
        <w:tc>
          <w:tcPr>
            <w:tcW w:w="1639"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培养条件</w:t>
            </w:r>
          </w:p>
        </w:tc>
        <w:tc>
          <w:tcPr>
            <w:tcW w:w="718"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检测模型</w:t>
            </w:r>
          </w:p>
        </w:tc>
        <w:tc>
          <w:tcPr>
            <w:tcW w:w="1077" w:type="pct"/>
            <w:tcBorders>
              <w:top w:val="single" w:color="auto" w:sz="8" w:space="0"/>
              <w:bottom w:val="single" w:color="auto" w:sz="6" w:space="0"/>
            </w:tcBorders>
            <w:vAlign w:val="center"/>
          </w:tcPr>
          <w:p>
            <w:pPr>
              <w:spacing w:line="400" w:lineRule="exact"/>
              <w:jc w:val="center"/>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观察时间</w:t>
            </w:r>
          </w:p>
        </w:tc>
        <w:tc>
          <w:tcPr>
            <w:tcW w:w="756"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检测方式</w:t>
            </w:r>
          </w:p>
        </w:tc>
      </w:tr>
      <w:tr>
        <w:trPr>
          <w:trHeight w:val="194" w:hRule="atLeast"/>
          <w:jc w:val="center"/>
        </w:trPr>
        <w:tc>
          <w:tcPr>
            <w:tcW w:w="808" w:type="pct"/>
            <w:tcBorders>
              <w:top w:val="single" w:color="auto" w:sz="6"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阳性对照组</w:t>
            </w:r>
          </w:p>
        </w:tc>
        <w:tc>
          <w:tcPr>
            <w:tcW w:w="1639" w:type="pct"/>
            <w:tcBorders>
              <w:top w:val="single" w:color="auto" w:sz="6" w:space="0"/>
            </w:tcBorders>
            <w:vAlign w:val="center"/>
          </w:tcPr>
          <w:p>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含</w:t>
            </w:r>
            <w:r>
              <w:rPr>
                <w:rFonts w:hint="eastAsia" w:ascii="宋体" w:hAnsi="宋体" w:eastAsia="宋体" w:cs="宋体"/>
                <w:sz w:val="24"/>
                <w:szCs w:val="24"/>
              </w:rPr>
              <w:t>10%血清培养基</w:t>
            </w:r>
          </w:p>
        </w:tc>
        <w:tc>
          <w:tcPr>
            <w:tcW w:w="718" w:type="pct"/>
            <w:vMerge w:val="restart"/>
            <w:tcBorders>
              <w:top w:val="single" w:color="auto" w:sz="6" w:space="0"/>
            </w:tcBorders>
            <w:vAlign w:val="center"/>
          </w:tcPr>
          <w:p>
            <w:pPr>
              <w:spacing w:line="400" w:lineRule="exact"/>
              <w:jc w:val="center"/>
              <w:rPr>
                <w:rFonts w:hint="eastAsia" w:ascii="宋体" w:hAnsi="宋体" w:eastAsia="宋体" w:cs="宋体"/>
                <w:sz w:val="24"/>
                <w:szCs w:val="24"/>
                <w:lang w:val="en-US" w:eastAsia="zh-Hans"/>
              </w:rPr>
            </w:pPr>
            <w:r>
              <w:rPr>
                <w:rFonts w:hint="eastAsia" w:ascii="宋体" w:hAnsi="宋体" w:eastAsia="宋体" w:cs="宋体"/>
                <w:sz w:val="24"/>
                <w:szCs w:val="24"/>
              </w:rPr>
              <w:t>细胞</w:t>
            </w:r>
            <w:r>
              <w:rPr>
                <w:rFonts w:hint="eastAsia" w:ascii="宋体" w:hAnsi="宋体" w:eastAsia="宋体" w:cs="宋体"/>
                <w:sz w:val="24"/>
                <w:szCs w:val="24"/>
                <w:lang w:val="en-US" w:eastAsia="zh-Hans"/>
              </w:rPr>
              <w:t>系</w:t>
            </w:r>
          </w:p>
        </w:tc>
        <w:tc>
          <w:tcPr>
            <w:tcW w:w="1077" w:type="pct"/>
            <w:vMerge w:val="restart"/>
            <w:tcBorders>
              <w:top w:val="single" w:color="auto" w:sz="6" w:space="0"/>
            </w:tcBorders>
            <w:vAlign w:val="center"/>
          </w:tcPr>
          <w:p>
            <w:pPr>
              <w:spacing w:line="400" w:lineRule="exact"/>
              <w:jc w:val="center"/>
              <w:rPr>
                <w:rFonts w:hint="eastAsia" w:ascii="宋体" w:hAnsi="宋体" w:eastAsia="宋体" w:cs="宋体"/>
                <w:sz w:val="24"/>
                <w:szCs w:val="24"/>
                <w:lang w:val="en-US" w:eastAsia="zh-Hans"/>
              </w:rPr>
            </w:pPr>
            <w:r>
              <w:rPr>
                <w:rFonts w:hint="eastAsia" w:ascii="宋体" w:hAnsi="宋体" w:eastAsia="宋体" w:cs="宋体"/>
                <w:sz w:val="24"/>
                <w:szCs w:val="24"/>
              </w:rPr>
              <w:t>24h、48h、72h</w:t>
            </w:r>
          </w:p>
        </w:tc>
        <w:tc>
          <w:tcPr>
            <w:tcW w:w="756" w:type="pct"/>
            <w:vMerge w:val="restart"/>
            <w:tcBorders>
              <w:top w:val="single" w:color="auto" w:sz="6"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CCK-8法</w:t>
            </w:r>
          </w:p>
        </w:tc>
      </w:tr>
      <w:tr>
        <w:trPr>
          <w:jc w:val="center"/>
        </w:trPr>
        <w:tc>
          <w:tcPr>
            <w:tcW w:w="808" w:type="pct"/>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空白对照组</w:t>
            </w:r>
          </w:p>
        </w:tc>
        <w:tc>
          <w:tcPr>
            <w:tcW w:w="1639" w:type="pct"/>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无血清培养基</w:t>
            </w:r>
          </w:p>
        </w:tc>
        <w:tc>
          <w:tcPr>
            <w:tcW w:w="718" w:type="pct"/>
            <w:vMerge w:val="continue"/>
            <w:vAlign w:val="center"/>
          </w:tcPr>
          <w:p>
            <w:pPr>
              <w:spacing w:line="400" w:lineRule="exact"/>
              <w:jc w:val="center"/>
              <w:rPr>
                <w:rFonts w:hint="eastAsia" w:ascii="宋体" w:hAnsi="宋体" w:eastAsia="宋体" w:cs="宋体"/>
                <w:sz w:val="24"/>
                <w:szCs w:val="24"/>
              </w:rPr>
            </w:pPr>
          </w:p>
        </w:tc>
        <w:tc>
          <w:tcPr>
            <w:tcW w:w="1077" w:type="pct"/>
            <w:vMerge w:val="continue"/>
            <w:vAlign w:val="center"/>
          </w:tcPr>
          <w:p>
            <w:pPr>
              <w:spacing w:line="400" w:lineRule="exact"/>
              <w:jc w:val="center"/>
              <w:rPr>
                <w:rFonts w:hint="eastAsia" w:ascii="宋体" w:hAnsi="宋体" w:eastAsia="宋体" w:cs="宋体"/>
                <w:sz w:val="24"/>
                <w:szCs w:val="24"/>
              </w:rPr>
            </w:pPr>
          </w:p>
        </w:tc>
        <w:tc>
          <w:tcPr>
            <w:tcW w:w="756" w:type="pct"/>
            <w:vMerge w:val="continue"/>
            <w:vAlign w:val="center"/>
          </w:tcPr>
          <w:p>
            <w:pPr>
              <w:spacing w:line="400" w:lineRule="exact"/>
              <w:jc w:val="center"/>
              <w:rPr>
                <w:rFonts w:hint="eastAsia" w:ascii="宋体" w:hAnsi="宋体" w:eastAsia="宋体" w:cs="宋体"/>
                <w:sz w:val="24"/>
                <w:szCs w:val="24"/>
              </w:rPr>
            </w:pPr>
          </w:p>
        </w:tc>
      </w:tr>
      <w:tr>
        <w:trPr>
          <w:trHeight w:val="162" w:hRule="atLeast"/>
          <w:jc w:val="center"/>
        </w:trPr>
        <w:tc>
          <w:tcPr>
            <w:tcW w:w="808" w:type="pct"/>
            <w:tcBorders>
              <w:bottom w:val="single" w:color="auto" w:sz="8" w:space="0"/>
            </w:tcBorders>
            <w:vAlign w:val="center"/>
          </w:tcPr>
          <w:p>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试验</w:t>
            </w:r>
            <w:r>
              <w:rPr>
                <w:rFonts w:hint="eastAsia" w:ascii="宋体" w:hAnsi="宋体" w:eastAsia="宋体" w:cs="宋体"/>
                <w:sz w:val="24"/>
                <w:szCs w:val="24"/>
              </w:rPr>
              <w:t>组</w:t>
            </w:r>
          </w:p>
        </w:tc>
        <w:tc>
          <w:tcPr>
            <w:tcW w:w="1639" w:type="pct"/>
            <w:tcBorders>
              <w:bottom w:val="single" w:color="auto" w:sz="8"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样品无血清培养基溶液</w:t>
            </w:r>
          </w:p>
        </w:tc>
        <w:tc>
          <w:tcPr>
            <w:tcW w:w="718" w:type="pct"/>
            <w:vMerge w:val="continue"/>
            <w:tcBorders>
              <w:bottom w:val="single" w:color="auto" w:sz="8" w:space="0"/>
            </w:tcBorders>
            <w:vAlign w:val="center"/>
          </w:tcPr>
          <w:p>
            <w:pPr>
              <w:spacing w:line="400" w:lineRule="exact"/>
              <w:jc w:val="center"/>
              <w:rPr>
                <w:rFonts w:hint="eastAsia" w:ascii="宋体" w:hAnsi="宋体" w:eastAsia="宋体" w:cs="宋体"/>
                <w:sz w:val="24"/>
                <w:szCs w:val="24"/>
              </w:rPr>
            </w:pPr>
          </w:p>
        </w:tc>
        <w:tc>
          <w:tcPr>
            <w:tcW w:w="1077" w:type="pct"/>
            <w:vMerge w:val="continue"/>
            <w:tcBorders>
              <w:bottom w:val="single" w:color="auto" w:sz="8" w:space="0"/>
            </w:tcBorders>
            <w:vAlign w:val="center"/>
          </w:tcPr>
          <w:p>
            <w:pPr>
              <w:spacing w:line="400" w:lineRule="exact"/>
              <w:jc w:val="center"/>
              <w:rPr>
                <w:rFonts w:hint="eastAsia" w:ascii="宋体" w:hAnsi="宋体" w:eastAsia="宋体" w:cs="宋体"/>
                <w:sz w:val="24"/>
                <w:szCs w:val="24"/>
              </w:rPr>
            </w:pPr>
          </w:p>
        </w:tc>
        <w:tc>
          <w:tcPr>
            <w:tcW w:w="756" w:type="pct"/>
            <w:vMerge w:val="continue"/>
            <w:tcBorders>
              <w:bottom w:val="single" w:color="auto" w:sz="8" w:space="0"/>
            </w:tcBorders>
            <w:vAlign w:val="center"/>
          </w:tcPr>
          <w:p>
            <w:pPr>
              <w:spacing w:line="400" w:lineRule="exact"/>
              <w:jc w:val="center"/>
              <w:rPr>
                <w:rFonts w:hint="eastAsia" w:ascii="宋体" w:hAnsi="宋体" w:eastAsia="宋体" w:cs="宋体"/>
                <w:sz w:val="24"/>
                <w:szCs w:val="24"/>
              </w:rPr>
            </w:pPr>
          </w:p>
        </w:tc>
      </w:tr>
    </w:tbl>
    <w:p>
      <w:pPr>
        <w:pStyle w:val="3"/>
        <w:rPr>
          <w:rStyle w:val="15"/>
          <w:rFonts w:hint="eastAsia" w:ascii="宋体" w:hAnsi="宋体" w:eastAsia="宋体" w:cs="宋体"/>
          <w:b w:val="0"/>
          <w:bCs/>
          <w:sz w:val="24"/>
          <w:szCs w:val="24"/>
          <w:lang w:val="en-US" w:eastAsia="zh-Hans"/>
        </w:rPr>
      </w:pPr>
      <w:bookmarkStart w:id="38" w:name="_Toc100174035"/>
      <w:r>
        <w:rPr>
          <w:rStyle w:val="15"/>
          <w:rFonts w:hint="eastAsia" w:ascii="宋体" w:hAnsi="宋体" w:eastAsia="宋体" w:cs="宋体"/>
          <w:b w:val="0"/>
          <w:bCs/>
          <w:sz w:val="24"/>
          <w:szCs w:val="24"/>
        </w:rPr>
        <w:t>5</w:t>
      </w:r>
      <w:r>
        <w:rPr>
          <w:rStyle w:val="15"/>
          <w:rFonts w:hint="eastAsia" w:ascii="宋体" w:hAnsi="宋体" w:eastAsia="宋体" w:cs="宋体"/>
          <w:b w:val="0"/>
          <w:bCs/>
          <w:sz w:val="24"/>
          <w:szCs w:val="24"/>
          <w:lang w:val="en-US" w:eastAsia="zh-Hans"/>
        </w:rPr>
        <w:t>.</w:t>
      </w:r>
      <w:r>
        <w:rPr>
          <w:rStyle w:val="15"/>
          <w:rFonts w:hint="eastAsia" w:ascii="宋体" w:hAnsi="宋体" w:eastAsia="宋体" w:cs="宋体"/>
          <w:b w:val="0"/>
          <w:bCs/>
          <w:sz w:val="24"/>
          <w:szCs w:val="24"/>
          <w:lang w:eastAsia="zh-Hans"/>
        </w:rPr>
        <w:t xml:space="preserve">5 </w:t>
      </w:r>
      <w:r>
        <w:rPr>
          <w:rStyle w:val="15"/>
          <w:rFonts w:hint="eastAsia" w:ascii="宋体" w:hAnsi="宋体" w:eastAsia="宋体" w:cs="宋体"/>
          <w:b w:val="0"/>
          <w:bCs/>
          <w:sz w:val="24"/>
          <w:szCs w:val="24"/>
          <w:lang w:val="en-US" w:eastAsia="zh-Hans"/>
        </w:rPr>
        <w:t>结果分析</w:t>
      </w:r>
    </w:p>
    <w:p>
      <w:pPr>
        <w:pStyle w:val="3"/>
        <w:ind w:firstLine="480" w:firstLineChars="200"/>
        <w:rPr>
          <w:rStyle w:val="15"/>
          <w:rFonts w:hint="eastAsia" w:ascii="宋体" w:hAnsi="宋体" w:eastAsia="宋体" w:cs="宋体"/>
          <w:b w:val="0"/>
          <w:bCs/>
          <w:sz w:val="24"/>
          <w:szCs w:val="24"/>
          <w:lang w:eastAsia="zh-Hans"/>
        </w:rPr>
      </w:pPr>
      <w:r>
        <w:rPr>
          <w:rFonts w:hint="eastAsia" w:ascii="宋体" w:hAnsi="宋体" w:eastAsia="宋体" w:cs="宋体"/>
          <w:b w:val="0"/>
          <w:bCs w:val="0"/>
          <w:color w:val="000000"/>
          <w:kern w:val="0"/>
          <w:sz w:val="24"/>
          <w:szCs w:val="24"/>
          <w:lang w:val="en-US" w:eastAsia="zh-CN" w:bidi="ar"/>
        </w:rPr>
        <w:t>采用适宜的统计学方法评价试验结果</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color w:val="000000"/>
          <w:kern w:val="0"/>
          <w:sz w:val="24"/>
          <w:szCs w:val="24"/>
          <w:lang w:val="en-US" w:eastAsia="zh-CN" w:bidi="ar"/>
        </w:rPr>
        <w:t>并对空白对照组、试验组和/或阳性对照品组各组结果进行综合分析评估。</w:t>
      </w:r>
      <w:r>
        <w:rPr>
          <w:rFonts w:hint="eastAsia" w:ascii="宋体" w:hAnsi="宋体" w:eastAsia="宋体" w:cs="宋体"/>
          <w:b w:val="0"/>
          <w:bCs w:val="0"/>
          <w:color w:val="000000"/>
          <w:kern w:val="0"/>
          <w:sz w:val="24"/>
          <w:szCs w:val="24"/>
          <w:lang w:val="en-US" w:eastAsia="zh-Hans" w:bidi="ar"/>
        </w:rPr>
        <w:t>如果细胞增殖试验表现为增殖抑制作用</w:t>
      </w:r>
      <w:r>
        <w:rPr>
          <w:rFonts w:hint="eastAsia" w:ascii="宋体" w:hAnsi="宋体" w:eastAsia="宋体" w:cs="宋体"/>
          <w:b w:val="0"/>
          <w:bCs w:val="0"/>
          <w:color w:val="000000"/>
          <w:kern w:val="0"/>
          <w:sz w:val="24"/>
          <w:szCs w:val="24"/>
          <w:lang w:eastAsia="zh-Hans" w:bidi="ar"/>
        </w:rPr>
        <w:t>，</w:t>
      </w:r>
      <w:r>
        <w:rPr>
          <w:rFonts w:hint="eastAsia" w:ascii="宋体" w:hAnsi="宋体" w:eastAsia="宋体" w:cs="宋体"/>
          <w:b w:val="0"/>
          <w:bCs w:val="0"/>
          <w:color w:val="000000"/>
          <w:kern w:val="0"/>
          <w:sz w:val="24"/>
          <w:szCs w:val="24"/>
          <w:lang w:val="en-US" w:eastAsia="zh-Hans" w:bidi="ar"/>
        </w:rPr>
        <w:t>这样的材料可能和培养基中的血清蛋白相互作用</w:t>
      </w:r>
      <w:r>
        <w:rPr>
          <w:rFonts w:hint="eastAsia" w:ascii="宋体" w:hAnsi="宋体" w:eastAsia="宋体" w:cs="宋体"/>
          <w:b w:val="0"/>
          <w:bCs w:val="0"/>
          <w:color w:val="000000"/>
          <w:kern w:val="0"/>
          <w:sz w:val="24"/>
          <w:szCs w:val="24"/>
          <w:lang w:eastAsia="zh-Hans" w:bidi="ar"/>
        </w:rPr>
        <w:t>，</w:t>
      </w:r>
      <w:r>
        <w:rPr>
          <w:rFonts w:hint="eastAsia" w:ascii="宋体" w:hAnsi="宋体" w:eastAsia="宋体" w:cs="宋体"/>
          <w:b w:val="0"/>
          <w:bCs w:val="0"/>
          <w:color w:val="000000"/>
          <w:kern w:val="0"/>
          <w:sz w:val="24"/>
          <w:szCs w:val="24"/>
          <w:lang w:val="en-US" w:eastAsia="zh-Hans" w:bidi="ar"/>
        </w:rPr>
        <w:t>在有血清蛋白存在的情况下可能不会表现出细胞增殖抑制作用</w:t>
      </w:r>
      <w:r>
        <w:rPr>
          <w:rFonts w:hint="eastAsia" w:ascii="宋体" w:hAnsi="宋体" w:eastAsia="宋体" w:cs="宋体"/>
          <w:b w:val="0"/>
          <w:bCs w:val="0"/>
          <w:color w:val="000000"/>
          <w:kern w:val="0"/>
          <w:sz w:val="24"/>
          <w:szCs w:val="24"/>
          <w:lang w:eastAsia="zh-Hans" w:bidi="ar"/>
        </w:rPr>
        <w:t>，</w:t>
      </w:r>
      <w:r>
        <w:rPr>
          <w:rFonts w:hint="eastAsia" w:ascii="宋体" w:hAnsi="宋体" w:eastAsia="宋体" w:cs="宋体"/>
          <w:b w:val="0"/>
          <w:bCs w:val="0"/>
          <w:color w:val="000000"/>
          <w:kern w:val="0"/>
          <w:sz w:val="24"/>
          <w:szCs w:val="24"/>
          <w:lang w:val="en-US" w:eastAsia="zh-Hans" w:bidi="ar"/>
        </w:rPr>
        <w:t>必要时进一步研究明确其作用机理</w:t>
      </w:r>
      <w:r>
        <w:rPr>
          <w:rFonts w:hint="eastAsia" w:ascii="宋体" w:hAnsi="宋体" w:eastAsia="宋体" w:cs="宋体"/>
          <w:b w:val="0"/>
          <w:bCs w:val="0"/>
          <w:color w:val="000000"/>
          <w:kern w:val="0"/>
          <w:sz w:val="24"/>
          <w:szCs w:val="24"/>
          <w:lang w:eastAsia="zh-Hans" w:bidi="ar"/>
        </w:rPr>
        <w:t>。</w:t>
      </w:r>
    </w:p>
    <w:p>
      <w:pPr>
        <w:pStyle w:val="3"/>
        <w:rPr>
          <w:rStyle w:val="15"/>
          <w:rFonts w:hint="eastAsia" w:ascii="宋体" w:hAnsi="宋体" w:eastAsia="宋体" w:cs="宋体"/>
          <w:b/>
          <w:bCs w:val="0"/>
          <w:sz w:val="24"/>
          <w:szCs w:val="24"/>
          <w:lang w:val="en-US" w:eastAsia="zh-Hans"/>
        </w:rPr>
      </w:pPr>
      <w:r>
        <w:rPr>
          <w:rStyle w:val="15"/>
          <w:rFonts w:hint="eastAsia" w:ascii="宋体" w:hAnsi="宋体" w:eastAsia="宋体" w:cs="宋体"/>
          <w:b/>
          <w:bCs w:val="0"/>
          <w:sz w:val="24"/>
          <w:szCs w:val="24"/>
        </w:rPr>
        <w:t>6</w:t>
      </w:r>
      <w:r>
        <w:rPr>
          <w:rStyle w:val="15"/>
          <w:rFonts w:hint="eastAsia" w:ascii="宋体" w:hAnsi="宋体" w:eastAsia="宋体" w:cs="宋体"/>
          <w:b/>
          <w:bCs w:val="0"/>
          <w:sz w:val="24"/>
          <w:szCs w:val="24"/>
          <w:lang w:val="en-US" w:eastAsia="zh-Hans"/>
        </w:rPr>
        <w:t>细胞</w:t>
      </w:r>
      <w:r>
        <w:rPr>
          <w:rStyle w:val="15"/>
          <w:rFonts w:hint="eastAsia" w:ascii="宋体" w:hAnsi="宋体" w:eastAsia="宋体" w:cs="宋体"/>
          <w:b/>
          <w:bCs w:val="0"/>
          <w:sz w:val="24"/>
          <w:szCs w:val="24"/>
        </w:rPr>
        <w:t>迁移</w:t>
      </w:r>
      <w:bookmarkEnd w:id="38"/>
      <w:r>
        <w:rPr>
          <w:rStyle w:val="15"/>
          <w:rFonts w:hint="eastAsia" w:ascii="宋体" w:hAnsi="宋体" w:eastAsia="宋体" w:cs="宋体"/>
          <w:b/>
          <w:bCs w:val="0"/>
          <w:sz w:val="24"/>
          <w:szCs w:val="24"/>
          <w:lang w:val="en-US" w:eastAsia="zh-Hans"/>
        </w:rPr>
        <w:t>试验</w:t>
      </w:r>
    </w:p>
    <w:p>
      <w:pPr>
        <w:keepNext w:val="0"/>
        <w:keepLines w:val="0"/>
        <w:pageBreakBefore w:val="0"/>
        <w:kinsoku/>
        <w:wordWrap/>
        <w:overflowPunct/>
        <w:topLinePunct w:val="0"/>
        <w:bidi w:val="0"/>
        <w:snapToGrid/>
        <w:spacing w:line="360" w:lineRule="auto"/>
        <w:textAlignment w:val="auto"/>
        <w:rPr>
          <w:rStyle w:val="15"/>
          <w:rFonts w:hint="eastAsia" w:ascii="宋体" w:hAnsi="宋体" w:eastAsia="宋体" w:cs="宋体"/>
          <w:b w:val="0"/>
          <w:bCs/>
          <w:sz w:val="24"/>
          <w:szCs w:val="24"/>
          <w:lang w:val="en-US" w:eastAsia="zh-Hans"/>
        </w:rPr>
      </w:pPr>
      <w:r>
        <w:rPr>
          <w:rStyle w:val="15"/>
          <w:rFonts w:hint="eastAsia" w:ascii="宋体" w:hAnsi="宋体" w:eastAsia="宋体" w:cs="宋体"/>
          <w:b w:val="0"/>
          <w:bCs/>
          <w:sz w:val="24"/>
          <w:szCs w:val="24"/>
          <w:lang w:eastAsia="zh-Hans"/>
        </w:rPr>
        <w:t>6</w:t>
      </w:r>
      <w:r>
        <w:rPr>
          <w:rStyle w:val="15"/>
          <w:rFonts w:hint="eastAsia" w:ascii="宋体" w:hAnsi="宋体" w:eastAsia="宋体" w:cs="宋体"/>
          <w:b w:val="0"/>
          <w:bCs/>
          <w:sz w:val="24"/>
          <w:szCs w:val="24"/>
          <w:lang w:val="en-US" w:eastAsia="zh-Hans"/>
        </w:rPr>
        <w:t>.</w:t>
      </w:r>
      <w:r>
        <w:rPr>
          <w:rStyle w:val="15"/>
          <w:rFonts w:hint="eastAsia" w:ascii="宋体" w:hAnsi="宋体" w:eastAsia="宋体" w:cs="宋体"/>
          <w:b w:val="0"/>
          <w:bCs/>
          <w:sz w:val="24"/>
          <w:szCs w:val="24"/>
          <w:lang w:eastAsia="zh-Hans"/>
        </w:rPr>
        <w:t xml:space="preserve">1 </w:t>
      </w:r>
      <w:r>
        <w:rPr>
          <w:rStyle w:val="15"/>
          <w:rFonts w:hint="eastAsia" w:ascii="宋体" w:hAnsi="宋体" w:eastAsia="宋体" w:cs="宋体"/>
          <w:b w:val="0"/>
          <w:bCs/>
          <w:sz w:val="24"/>
          <w:szCs w:val="24"/>
          <w:lang w:val="en-US" w:eastAsia="zh-Hans"/>
        </w:rPr>
        <w:t>试验原理</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262626"/>
          <w:kern w:val="0"/>
          <w:sz w:val="24"/>
          <w:szCs w:val="24"/>
        </w:rPr>
      </w:pPr>
      <w:r>
        <w:rPr>
          <w:rFonts w:hint="eastAsia" w:ascii="宋体" w:hAnsi="宋体" w:eastAsia="宋体" w:cs="宋体"/>
          <w:color w:val="262626"/>
          <w:kern w:val="0"/>
          <w:sz w:val="24"/>
          <w:szCs w:val="24"/>
        </w:rPr>
        <w:t>细胞划痕实验是研究细胞迁移能力的体外试验。其原理是：当细胞长到融合成单层状态时，在融合的单层细胞上人为制造一个</w:t>
      </w:r>
      <w:r>
        <w:rPr>
          <w:rFonts w:hint="eastAsia" w:ascii="宋体" w:hAnsi="宋体" w:eastAsia="宋体" w:cs="宋体"/>
          <w:color w:val="262626"/>
          <w:kern w:val="0"/>
          <w:sz w:val="24"/>
          <w:szCs w:val="24"/>
          <w:lang w:val="en-US" w:eastAsia="zh-Hans"/>
        </w:rPr>
        <w:t>细胞</w:t>
      </w:r>
      <w:r>
        <w:rPr>
          <w:rFonts w:hint="eastAsia" w:ascii="宋体" w:hAnsi="宋体" w:eastAsia="宋体" w:cs="宋体"/>
          <w:color w:val="262626"/>
          <w:kern w:val="0"/>
          <w:sz w:val="24"/>
          <w:szCs w:val="24"/>
        </w:rPr>
        <w:t>空白区域，即为“划痕”，划痕边缘的细胞会逐渐进入空白区域使“划痕”愈合。通过对不同时期划痕区域细胞状态的观察，对细胞的迁移能力进行判断。</w:t>
      </w:r>
      <w:r>
        <w:rPr>
          <w:rFonts w:hint="eastAsia" w:ascii="宋体" w:hAnsi="宋体" w:eastAsia="宋体" w:cs="宋体"/>
          <w:color w:val="262626"/>
          <w:kern w:val="0"/>
          <w:sz w:val="24"/>
          <w:szCs w:val="24"/>
          <w:lang w:val="en-US" w:eastAsia="zh-Hans"/>
        </w:rPr>
        <w:t>细胞划痕作为</w:t>
      </w:r>
      <w:r>
        <w:rPr>
          <w:rFonts w:hint="eastAsia" w:ascii="宋体" w:hAnsi="宋体" w:eastAsia="宋体" w:cs="宋体"/>
          <w:color w:val="262626"/>
          <w:kern w:val="0"/>
          <w:sz w:val="24"/>
          <w:szCs w:val="24"/>
        </w:rPr>
        <w:t>创伤愈合实验是一种简单、廉价的方法。该方法模拟了细胞在体内愈合过程中的迁移过程。基本步骤包括在细胞单层中创建一个“伤口”，在细胞迁移过程中在开始和定期捕获图像以关闭伤口，以及比较图像以确定细胞迁移速率。</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15"/>
          <w:rFonts w:hint="eastAsia" w:ascii="宋体" w:hAnsi="宋体" w:eastAsia="宋体" w:cs="宋体"/>
          <w:b w:val="0"/>
          <w:bCs w:val="0"/>
          <w:sz w:val="24"/>
          <w:szCs w:val="24"/>
          <w:lang w:val="en-US" w:eastAsia="zh-Hans"/>
        </w:rPr>
      </w:pPr>
      <w:r>
        <w:rPr>
          <w:rFonts w:hint="eastAsia" w:ascii="宋体" w:hAnsi="宋体" w:eastAsia="宋体" w:cs="宋体"/>
          <w:color w:val="262626"/>
          <w:kern w:val="0"/>
          <w:sz w:val="24"/>
          <w:szCs w:val="24"/>
        </w:rPr>
        <w:t>6</w:t>
      </w:r>
      <w:r>
        <w:rPr>
          <w:rFonts w:hint="eastAsia" w:ascii="宋体" w:hAnsi="宋体" w:eastAsia="宋体" w:cs="宋体"/>
          <w:color w:val="262626"/>
          <w:kern w:val="0"/>
          <w:sz w:val="24"/>
          <w:szCs w:val="24"/>
          <w:lang w:val="en-US" w:eastAsia="zh-Hans"/>
        </w:rPr>
        <w:t>.</w:t>
      </w:r>
      <w:r>
        <w:rPr>
          <w:rFonts w:hint="eastAsia" w:ascii="宋体" w:hAnsi="宋体" w:eastAsia="宋体" w:cs="宋体"/>
          <w:color w:val="262626"/>
          <w:kern w:val="0"/>
          <w:sz w:val="24"/>
          <w:szCs w:val="24"/>
          <w:lang w:eastAsia="zh-Hans"/>
        </w:rPr>
        <w:t xml:space="preserve">2 </w:t>
      </w:r>
      <w:r>
        <w:rPr>
          <w:rStyle w:val="15"/>
          <w:rFonts w:hint="eastAsia" w:ascii="宋体" w:hAnsi="宋体" w:eastAsia="宋体" w:cs="宋体"/>
          <w:b w:val="0"/>
          <w:bCs w:val="0"/>
          <w:sz w:val="24"/>
          <w:szCs w:val="24"/>
          <w:lang w:eastAsia="zh-Hans"/>
        </w:rPr>
        <w:t xml:space="preserve"> </w:t>
      </w:r>
      <w:r>
        <w:rPr>
          <w:rStyle w:val="15"/>
          <w:rFonts w:hint="eastAsia" w:ascii="宋体" w:hAnsi="宋体" w:eastAsia="宋体" w:cs="宋体"/>
          <w:b w:val="0"/>
          <w:bCs w:val="0"/>
          <w:sz w:val="24"/>
          <w:szCs w:val="24"/>
          <w:lang w:val="en-US" w:eastAsia="zh-Hans"/>
        </w:rPr>
        <w:t>器具</w:t>
      </w:r>
      <w:r>
        <w:rPr>
          <w:rStyle w:val="15"/>
          <w:rFonts w:hint="eastAsia" w:ascii="宋体" w:hAnsi="宋体" w:eastAsia="宋体" w:cs="宋体"/>
          <w:b w:val="0"/>
          <w:bCs w:val="0"/>
          <w:sz w:val="24"/>
          <w:szCs w:val="24"/>
          <w:lang w:eastAsia="zh-Hans"/>
        </w:rPr>
        <w:t>、</w:t>
      </w:r>
      <w:r>
        <w:rPr>
          <w:rStyle w:val="15"/>
          <w:rFonts w:hint="eastAsia" w:ascii="宋体" w:hAnsi="宋体" w:eastAsia="宋体" w:cs="宋体"/>
          <w:b w:val="0"/>
          <w:bCs w:val="0"/>
          <w:sz w:val="24"/>
          <w:szCs w:val="24"/>
          <w:lang w:val="en-US" w:eastAsia="zh-Hans"/>
        </w:rPr>
        <w:t>试剂和耗材</w:t>
      </w:r>
    </w:p>
    <w:p>
      <w:pPr>
        <w:keepNext w:val="0"/>
        <w:keepLines w:val="0"/>
        <w:pageBreakBefore w:val="0"/>
        <w:widowControl w:val="0"/>
        <w:kinsoku/>
        <w:wordWrap/>
        <w:overflowPunct/>
        <w:topLinePunct w:val="0"/>
        <w:autoSpaceDE/>
        <w:autoSpaceDN/>
        <w:bidi w:val="0"/>
        <w:adjustRightInd/>
        <w:snapToGrid/>
        <w:spacing w:line="360" w:lineRule="auto"/>
        <w:textAlignment w:val="auto"/>
        <w:rPr>
          <w:rStyle w:val="15"/>
          <w:rFonts w:hint="eastAsia" w:ascii="宋体" w:hAnsi="宋体" w:eastAsia="宋体" w:cs="宋体"/>
          <w:b w:val="0"/>
          <w:bCs w:val="0"/>
          <w:sz w:val="24"/>
          <w:szCs w:val="24"/>
          <w:lang w:eastAsia="zh-Hans"/>
        </w:rPr>
      </w:pPr>
      <w:r>
        <w:rPr>
          <w:rStyle w:val="15"/>
          <w:rFonts w:hint="eastAsia" w:ascii="宋体" w:hAnsi="宋体" w:eastAsia="宋体" w:cs="宋体"/>
          <w:b w:val="0"/>
          <w:bCs w:val="0"/>
          <w:sz w:val="24"/>
          <w:szCs w:val="24"/>
          <w:lang w:eastAsia="zh-Hans"/>
        </w:rPr>
        <w:t>6</w:t>
      </w:r>
      <w:r>
        <w:rPr>
          <w:rStyle w:val="15"/>
          <w:rFonts w:hint="eastAsia" w:ascii="宋体" w:hAnsi="宋体" w:eastAsia="宋体" w:cs="宋体"/>
          <w:b w:val="0"/>
          <w:bCs w:val="0"/>
          <w:sz w:val="24"/>
          <w:szCs w:val="24"/>
          <w:lang w:val="en-US" w:eastAsia="zh-Hans"/>
        </w:rPr>
        <w:t>.</w:t>
      </w:r>
      <w:r>
        <w:rPr>
          <w:rStyle w:val="15"/>
          <w:rFonts w:hint="eastAsia" w:ascii="宋体" w:hAnsi="宋体" w:eastAsia="宋体" w:cs="宋体"/>
          <w:b w:val="0"/>
          <w:bCs w:val="0"/>
          <w:sz w:val="24"/>
          <w:szCs w:val="24"/>
          <w:lang w:eastAsia="zh-Hans"/>
        </w:rPr>
        <w:t>2</w:t>
      </w:r>
      <w:r>
        <w:rPr>
          <w:rStyle w:val="15"/>
          <w:rFonts w:hint="eastAsia" w:ascii="宋体" w:hAnsi="宋体" w:eastAsia="宋体" w:cs="宋体"/>
          <w:b w:val="0"/>
          <w:bCs w:val="0"/>
          <w:sz w:val="24"/>
          <w:szCs w:val="24"/>
          <w:lang w:val="en-US" w:eastAsia="zh-Hans"/>
        </w:rPr>
        <w:t>.</w:t>
      </w:r>
      <w:r>
        <w:rPr>
          <w:rStyle w:val="15"/>
          <w:rFonts w:hint="eastAsia" w:ascii="宋体" w:hAnsi="宋体" w:eastAsia="宋体" w:cs="宋体"/>
          <w:b w:val="0"/>
          <w:bCs w:val="0"/>
          <w:sz w:val="24"/>
          <w:szCs w:val="24"/>
          <w:lang w:eastAsia="zh-Hans"/>
        </w:rPr>
        <w:t>1</w:t>
      </w:r>
      <w:r>
        <w:rPr>
          <w:rFonts w:hint="eastAsia" w:ascii="宋体" w:hAnsi="宋体" w:eastAsia="宋体" w:cs="宋体"/>
          <w:sz w:val="24"/>
          <w:szCs w:val="24"/>
        </w:rPr>
        <w:t>二氧化碳细胞培养箱、恒温水浴摇床、高压蒸汽灭菌锅、倒置荧光显微镜、细胞计数仪、恒温水浴摇床、酶标仪、电子天平、液氮罐、24孔板、细胞培养瓶</w:t>
      </w:r>
      <w:r>
        <w:rPr>
          <w:rFonts w:hint="eastAsia" w:ascii="宋体" w:hAnsi="宋体" w:cs="宋体"/>
          <w:sz w:val="24"/>
          <w:szCs w:val="24"/>
          <w:lang w:val="en-US" w:eastAsia="zh-CN"/>
        </w:rPr>
        <w:t>或细胞培养皿</w:t>
      </w:r>
      <w:r>
        <w:rPr>
          <w:rFonts w:hint="eastAsia" w:ascii="宋体" w:hAnsi="宋体" w:eastAsia="宋体" w:cs="宋体"/>
          <w:sz w:val="24"/>
          <w:szCs w:val="24"/>
        </w:rPr>
        <w:t>、Image J</w:t>
      </w:r>
      <w:r>
        <w:rPr>
          <w:rFonts w:hint="eastAsia" w:ascii="宋体" w:hAnsi="宋体" w:eastAsia="宋体" w:cs="宋体"/>
          <w:sz w:val="24"/>
          <w:szCs w:val="24"/>
          <w:lang w:val="en-US" w:eastAsia="zh-Hans"/>
        </w:rPr>
        <w:t>图像处理软件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Style w:val="15"/>
          <w:rFonts w:hint="eastAsia" w:ascii="宋体" w:hAnsi="宋体" w:eastAsia="宋体" w:cs="宋体"/>
          <w:b w:val="0"/>
          <w:bCs w:val="0"/>
          <w:sz w:val="24"/>
          <w:szCs w:val="24"/>
          <w:lang w:eastAsia="zh-Hans"/>
        </w:rPr>
        <w:t>6</w:t>
      </w:r>
      <w:r>
        <w:rPr>
          <w:rStyle w:val="15"/>
          <w:rFonts w:hint="eastAsia" w:ascii="宋体" w:hAnsi="宋体" w:eastAsia="宋体" w:cs="宋体"/>
          <w:b w:val="0"/>
          <w:bCs w:val="0"/>
          <w:sz w:val="24"/>
          <w:szCs w:val="24"/>
          <w:lang w:val="en-US" w:eastAsia="zh-Hans"/>
        </w:rPr>
        <w:t>.</w:t>
      </w:r>
      <w:r>
        <w:rPr>
          <w:rStyle w:val="15"/>
          <w:rFonts w:hint="eastAsia" w:ascii="宋体" w:hAnsi="宋体" w:eastAsia="宋体" w:cs="宋体"/>
          <w:b w:val="0"/>
          <w:bCs w:val="0"/>
          <w:sz w:val="24"/>
          <w:szCs w:val="24"/>
          <w:lang w:eastAsia="zh-Hans"/>
        </w:rPr>
        <w:t>2</w:t>
      </w:r>
      <w:r>
        <w:rPr>
          <w:rStyle w:val="15"/>
          <w:rFonts w:hint="eastAsia" w:ascii="宋体" w:hAnsi="宋体" w:eastAsia="宋体" w:cs="宋体"/>
          <w:b w:val="0"/>
          <w:bCs w:val="0"/>
          <w:sz w:val="24"/>
          <w:szCs w:val="24"/>
          <w:lang w:val="en-US" w:eastAsia="zh-Hans"/>
        </w:rPr>
        <w:t>.</w:t>
      </w:r>
      <w:r>
        <w:rPr>
          <w:rStyle w:val="15"/>
          <w:rFonts w:hint="eastAsia" w:ascii="宋体" w:hAnsi="宋体" w:eastAsia="宋体" w:cs="宋体"/>
          <w:b w:val="0"/>
          <w:bCs w:val="0"/>
          <w:sz w:val="24"/>
          <w:szCs w:val="24"/>
          <w:lang w:eastAsia="zh-Hans"/>
        </w:rPr>
        <w:t xml:space="preserve">2 </w:t>
      </w:r>
      <w:r>
        <w:rPr>
          <w:rStyle w:val="15"/>
          <w:rFonts w:hint="eastAsia" w:ascii="宋体" w:hAnsi="宋体" w:eastAsia="宋体" w:cs="宋体"/>
          <w:b w:val="0"/>
          <w:bCs w:val="0"/>
          <w:sz w:val="24"/>
          <w:szCs w:val="24"/>
          <w:lang w:val="en-US" w:eastAsia="zh-Hans"/>
        </w:rPr>
        <w:t>试剂和耗材</w:t>
      </w:r>
      <w:r>
        <w:rPr>
          <w:rStyle w:val="15"/>
          <w:rFonts w:hint="eastAsia" w:ascii="宋体" w:hAnsi="宋体" w:eastAsia="宋体" w:cs="宋体"/>
          <w:b w:val="0"/>
          <w:bCs w:val="0"/>
          <w:sz w:val="24"/>
          <w:szCs w:val="24"/>
          <w:lang w:eastAsia="zh-Hans"/>
        </w:rPr>
        <w:t>：</w:t>
      </w:r>
      <w:r>
        <w:rPr>
          <w:rFonts w:hint="eastAsia" w:ascii="宋体" w:hAnsi="宋体" w:eastAsia="宋体" w:cs="宋体"/>
          <w:sz w:val="24"/>
          <w:szCs w:val="24"/>
        </w:rPr>
        <w:t>DMEM低糖培养基、胎牛血清(FBS)、</w:t>
      </w:r>
      <w:r>
        <w:rPr>
          <w:rFonts w:hint="eastAsia" w:ascii="宋体" w:hAnsi="宋体" w:eastAsia="宋体" w:cs="宋体"/>
          <w:sz w:val="24"/>
          <w:szCs w:val="24"/>
          <w:lang w:val="en-US" w:eastAsia="zh-Hans"/>
        </w:rPr>
        <w:t>PBS</w:t>
      </w:r>
      <w:r>
        <w:rPr>
          <w:rFonts w:hint="eastAsia" w:ascii="宋体" w:hAnsi="宋体" w:eastAsia="宋体" w:cs="宋体"/>
          <w:sz w:val="24"/>
          <w:szCs w:val="24"/>
          <w:lang w:eastAsia="zh-Hans"/>
        </w:rPr>
        <w:t>、</w:t>
      </w:r>
      <w:r>
        <w:rPr>
          <w:rFonts w:hint="eastAsia" w:ascii="宋体" w:hAnsi="宋体" w:eastAsia="宋体" w:cs="宋体"/>
          <w:sz w:val="24"/>
          <w:szCs w:val="24"/>
        </w:rPr>
        <w:t>Penicillin-Streptomycin、0.25%胰蛋白酶。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6</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2</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 xml:space="preserve">3 </w:t>
      </w:r>
      <w:r>
        <w:rPr>
          <w:rFonts w:hint="eastAsia" w:ascii="宋体" w:hAnsi="宋体" w:eastAsia="宋体" w:cs="宋体"/>
          <w:sz w:val="24"/>
          <w:szCs w:val="24"/>
          <w:lang w:val="en-US" w:eastAsia="zh-Hans"/>
        </w:rPr>
        <w:t>细胞系</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成纤维细胞</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皮肤上皮细胞</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食管上皮细胞</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胃黏膜上皮细胞</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肠黏膜上皮细胞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6</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 xml:space="preserve">3 </w:t>
      </w:r>
      <w:r>
        <w:rPr>
          <w:rFonts w:hint="eastAsia" w:ascii="宋体" w:hAnsi="宋体" w:eastAsia="宋体" w:cs="宋体"/>
          <w:sz w:val="24"/>
          <w:szCs w:val="24"/>
          <w:lang w:val="en-US" w:eastAsia="zh-Hans"/>
        </w:rPr>
        <w:t>样品制备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6</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 xml:space="preserve">1 </w:t>
      </w:r>
      <w:r>
        <w:rPr>
          <w:rFonts w:hint="eastAsia" w:ascii="宋体" w:hAnsi="宋体" w:cs="宋体"/>
          <w:sz w:val="24"/>
          <w:szCs w:val="24"/>
          <w:lang w:val="en-US" w:eastAsia="zh-CN"/>
        </w:rPr>
        <w:t>试验</w:t>
      </w:r>
      <w:r>
        <w:rPr>
          <w:rFonts w:hint="eastAsia" w:ascii="宋体" w:hAnsi="宋体" w:eastAsia="宋体" w:cs="宋体"/>
          <w:sz w:val="24"/>
          <w:szCs w:val="24"/>
          <w:lang w:val="en-US" w:eastAsia="zh-Hans"/>
        </w:rPr>
        <w:t>样品的制备</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按照细胞毒性试验确认的三个浓度称取样品溶解在无血清培养基中</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完全溶解过滤除菌备用</w:t>
      </w:r>
      <w:r>
        <w:rPr>
          <w:rFonts w:hint="eastAsia" w:ascii="宋体" w:hAnsi="宋体" w:eastAsia="宋体" w:cs="宋体"/>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2</w:t>
      </w:r>
      <w:r>
        <w:rPr>
          <w:rFonts w:hint="eastAsia" w:ascii="宋体" w:hAnsi="宋体" w:eastAsia="宋体" w:cs="宋体"/>
          <w:sz w:val="24"/>
          <w:szCs w:val="24"/>
        </w:rPr>
        <w:t>阳性对照：</w:t>
      </w:r>
      <w:r>
        <w:rPr>
          <w:rFonts w:hint="eastAsia" w:ascii="宋体" w:hAnsi="宋体" w:cs="宋体"/>
          <w:sz w:val="24"/>
          <w:szCs w:val="24"/>
          <w:lang w:val="en-US" w:eastAsia="zh-CN"/>
        </w:rPr>
        <w:t>含</w:t>
      </w:r>
      <w:r>
        <w:rPr>
          <w:rFonts w:hint="eastAsia" w:ascii="宋体" w:hAnsi="宋体" w:eastAsia="宋体" w:cs="宋体"/>
          <w:sz w:val="24"/>
          <w:szCs w:val="24"/>
        </w:rPr>
        <w:t>10%</w:t>
      </w:r>
      <w:r>
        <w:rPr>
          <w:rFonts w:hint="eastAsia" w:ascii="宋体" w:hAnsi="宋体" w:eastAsia="宋体" w:cs="宋体"/>
          <w:sz w:val="24"/>
          <w:szCs w:val="24"/>
          <w:lang w:val="en-US" w:eastAsia="zh-Hans"/>
        </w:rPr>
        <w:t>血清培养基</w:t>
      </w:r>
      <w:r>
        <w:rPr>
          <w:rFonts w:hint="eastAsia" w:ascii="宋体" w:hAnsi="宋体" w:eastAsia="宋体" w:cs="宋体"/>
          <w:sz w:val="24"/>
          <w:szCs w:val="24"/>
        </w:rPr>
        <w:t>，37℃、120 r/min摇床中震荡24小时。</w:t>
      </w:r>
    </w:p>
    <w:p>
      <w:pPr>
        <w:keepNext w:val="0"/>
        <w:keepLines w:val="0"/>
        <w:pageBreakBefore w:val="0"/>
        <w:widowControl/>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262626"/>
          <w:kern w:val="0"/>
          <w:sz w:val="24"/>
          <w:szCs w:val="24"/>
          <w:lang w:eastAsia="zh-Hans"/>
        </w:rPr>
      </w:pPr>
      <w:r>
        <w:rPr>
          <w:rFonts w:hint="eastAsia" w:ascii="宋体" w:hAnsi="宋体" w:eastAsia="宋体" w:cs="宋体"/>
          <w:sz w:val="24"/>
          <w:szCs w:val="24"/>
        </w:rPr>
        <w:t>6</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3</w:t>
      </w:r>
      <w:r>
        <w:rPr>
          <w:rFonts w:hint="eastAsia" w:ascii="宋体" w:hAnsi="宋体" w:eastAsia="宋体" w:cs="宋体"/>
          <w:sz w:val="24"/>
          <w:szCs w:val="24"/>
        </w:rPr>
        <w:t>空白对照：</w:t>
      </w:r>
      <w:r>
        <w:rPr>
          <w:rFonts w:hint="eastAsia" w:ascii="宋体" w:hAnsi="宋体" w:eastAsia="宋体" w:cs="宋体"/>
          <w:sz w:val="24"/>
          <w:szCs w:val="24"/>
          <w:lang w:val="en-US" w:eastAsia="zh-Hans"/>
        </w:rPr>
        <w:t>无血清</w:t>
      </w:r>
      <w:r>
        <w:rPr>
          <w:rFonts w:hint="eastAsia" w:ascii="宋体" w:hAnsi="宋体" w:eastAsia="宋体" w:cs="宋体"/>
          <w:sz w:val="24"/>
          <w:szCs w:val="24"/>
        </w:rPr>
        <w:t>培养基，37℃、120 r/min摇床中震荡24小时。</w:t>
      </w:r>
    </w:p>
    <w:p>
      <w:pPr>
        <w:keepNext w:val="0"/>
        <w:keepLines w:val="0"/>
        <w:pageBreakBefore w:val="0"/>
        <w:kinsoku/>
        <w:wordWrap/>
        <w:overflowPunct/>
        <w:topLinePunct w:val="0"/>
        <w:bidi w:val="0"/>
        <w:snapToGrid/>
        <w:spacing w:line="360" w:lineRule="auto"/>
        <w:textAlignment w:val="auto"/>
        <w:rPr>
          <w:rStyle w:val="15"/>
          <w:rFonts w:hint="eastAsia" w:ascii="宋体" w:hAnsi="宋体" w:eastAsia="宋体" w:cs="宋体"/>
          <w:b w:val="0"/>
          <w:bCs/>
          <w:sz w:val="24"/>
          <w:szCs w:val="24"/>
          <w:lang w:val="en-US" w:eastAsia="zh-Hans"/>
        </w:rPr>
      </w:pPr>
      <w:r>
        <w:rPr>
          <w:rStyle w:val="15"/>
          <w:rFonts w:hint="eastAsia" w:ascii="宋体" w:hAnsi="宋体" w:eastAsia="宋体" w:cs="宋体"/>
          <w:b w:val="0"/>
          <w:bCs/>
          <w:sz w:val="24"/>
          <w:szCs w:val="24"/>
          <w:lang w:eastAsia="zh-Hans"/>
        </w:rPr>
        <w:t>6</w:t>
      </w:r>
      <w:r>
        <w:rPr>
          <w:rStyle w:val="15"/>
          <w:rFonts w:hint="eastAsia" w:ascii="宋体" w:hAnsi="宋体" w:eastAsia="宋体" w:cs="宋体"/>
          <w:b w:val="0"/>
          <w:bCs/>
          <w:sz w:val="24"/>
          <w:szCs w:val="24"/>
          <w:lang w:val="en-US" w:eastAsia="zh-Hans"/>
        </w:rPr>
        <w:t>.</w:t>
      </w:r>
      <w:r>
        <w:rPr>
          <w:rStyle w:val="15"/>
          <w:rFonts w:hint="eastAsia" w:ascii="宋体" w:hAnsi="宋体" w:eastAsia="宋体" w:cs="宋体"/>
          <w:b w:val="0"/>
          <w:bCs/>
          <w:sz w:val="24"/>
          <w:szCs w:val="24"/>
          <w:lang w:eastAsia="zh-Hans"/>
        </w:rPr>
        <w:t xml:space="preserve">4 </w:t>
      </w:r>
      <w:r>
        <w:rPr>
          <w:rStyle w:val="15"/>
          <w:rFonts w:hint="eastAsia" w:ascii="宋体" w:hAnsi="宋体" w:eastAsia="宋体" w:cs="宋体"/>
          <w:b w:val="0"/>
          <w:bCs/>
          <w:sz w:val="24"/>
          <w:szCs w:val="24"/>
          <w:lang w:val="en-US" w:eastAsia="zh-Hans"/>
        </w:rPr>
        <w:t>试验步骤和方法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bookmarkStart w:id="39" w:name="_Hlk93520538"/>
      <w:r>
        <w:rPr>
          <w:rFonts w:hint="eastAsia" w:ascii="宋体" w:hAnsi="宋体" w:eastAsia="宋体" w:cs="宋体"/>
          <w:sz w:val="24"/>
          <w:szCs w:val="24"/>
          <w:lang w:val="en-US" w:eastAsia="zh-Hans"/>
        </w:rPr>
        <w:t>按照表</w:t>
      </w:r>
      <w:r>
        <w:rPr>
          <w:rFonts w:hint="eastAsia" w:ascii="宋体" w:hAnsi="宋体" w:eastAsia="宋体" w:cs="宋体"/>
          <w:sz w:val="24"/>
          <w:szCs w:val="24"/>
          <w:lang w:eastAsia="zh-Hans"/>
        </w:rPr>
        <w:t>3</w:t>
      </w:r>
      <w:r>
        <w:rPr>
          <w:rFonts w:hint="eastAsia" w:ascii="宋体" w:hAnsi="宋体" w:eastAsia="宋体" w:cs="宋体"/>
          <w:sz w:val="24"/>
          <w:szCs w:val="24"/>
        </w:rPr>
        <w:t>将处于对数生长期的细胞铺于24孔板内，每孔加入1 mL，2个复孔，24小时后取一把灭菌后直尺放置于孔板孔上方，用1 mL枪垂直于孔板和直尺间划一道横线，在显微镜下(10X)观察，拍摄0h、</w:t>
      </w:r>
      <w:r>
        <w:rPr>
          <w:rFonts w:hint="eastAsia" w:ascii="宋体" w:hAnsi="宋体" w:cs="宋体"/>
          <w:sz w:val="24"/>
          <w:szCs w:val="24"/>
          <w:lang w:val="en-US" w:eastAsia="zh-CN"/>
        </w:rPr>
        <w:t>以及培养</w:t>
      </w:r>
      <w:r>
        <w:rPr>
          <w:rFonts w:hint="eastAsia" w:ascii="宋体" w:hAnsi="宋体" w:eastAsia="宋体" w:cs="宋体"/>
          <w:sz w:val="24"/>
          <w:szCs w:val="24"/>
        </w:rPr>
        <w:t>12h、24h时细胞图片，应用Image J根据公式1-</w:t>
      </w:r>
      <w:r>
        <w:rPr>
          <w:rFonts w:hint="eastAsia" w:ascii="宋体" w:hAnsi="宋体" w:eastAsia="宋体" w:cs="宋体"/>
          <w:sz w:val="24"/>
          <w:szCs w:val="24"/>
          <w:lang w:val="en-US" w:eastAsia="zh-CN"/>
        </w:rPr>
        <w:t>3</w:t>
      </w:r>
      <w:r>
        <w:rPr>
          <w:rFonts w:hint="eastAsia" w:ascii="宋体" w:hAnsi="宋体" w:eastAsia="宋体" w:cs="宋体"/>
          <w:sz w:val="24"/>
          <w:szCs w:val="24"/>
        </w:rPr>
        <w:t>计算不同时间的细胞迁移率，评估生物材料作用后的</w:t>
      </w:r>
      <w:r>
        <w:rPr>
          <w:rFonts w:hint="eastAsia" w:ascii="宋体" w:hAnsi="宋体" w:eastAsia="宋体" w:cs="宋体"/>
          <w:sz w:val="24"/>
          <w:szCs w:val="24"/>
          <w:lang w:val="en-US" w:eastAsia="zh-Hans"/>
        </w:rPr>
        <w:t>对</w:t>
      </w:r>
      <w:r>
        <w:rPr>
          <w:rFonts w:hint="eastAsia" w:ascii="宋体" w:hAnsi="宋体" w:eastAsia="宋体" w:cs="宋体"/>
          <w:sz w:val="24"/>
          <w:szCs w:val="24"/>
        </w:rPr>
        <w:t>细胞迁移</w:t>
      </w:r>
      <w:r>
        <w:rPr>
          <w:rFonts w:hint="eastAsia" w:ascii="宋体" w:hAnsi="宋体" w:cs="宋体"/>
          <w:sz w:val="24"/>
          <w:szCs w:val="24"/>
          <w:lang w:val="en-US" w:eastAsia="zh-CN"/>
        </w:rPr>
        <w:t>的影响</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both"/>
        <w:textAlignment w:val="auto"/>
        <w:rPr>
          <w:rFonts w:hint="eastAsia" w:ascii="宋体" w:hAnsi="宋体" w:eastAsia="宋体" w:cs="宋体"/>
          <w:b w:val="0"/>
          <w:bCs/>
          <w:sz w:val="24"/>
          <w:szCs w:val="24"/>
          <w:lang w:eastAsia="zh-Hans"/>
        </w:rPr>
      </w:pPr>
      <w:r>
        <w:rPr>
          <w:rFonts w:hint="eastAsia" w:ascii="宋体" w:hAnsi="宋体" w:eastAsia="宋体" w:cs="宋体"/>
          <w:b w:val="0"/>
          <w:bCs/>
          <w:sz w:val="24"/>
          <w:szCs w:val="24"/>
        </w:rPr>
        <w:t>表3 细胞</w:t>
      </w:r>
      <w:r>
        <w:rPr>
          <w:rFonts w:hint="eastAsia" w:ascii="宋体" w:hAnsi="宋体" w:eastAsia="宋体" w:cs="宋体"/>
          <w:b w:val="0"/>
          <w:bCs/>
          <w:sz w:val="24"/>
          <w:szCs w:val="24"/>
          <w:lang w:val="en-US" w:eastAsia="zh-Hans"/>
        </w:rPr>
        <w:t>迁移试验</w:t>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31"/>
        <w:gridCol w:w="3246"/>
        <w:gridCol w:w="1431"/>
        <w:gridCol w:w="2147"/>
        <w:gridCol w:w="1507"/>
      </w:tblGrid>
      <w:tr>
        <w:trPr>
          <w:trHeight w:val="333" w:hRule="atLeast"/>
          <w:jc w:val="center"/>
        </w:trPr>
        <w:tc>
          <w:tcPr>
            <w:tcW w:w="818"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实验分组</w:t>
            </w:r>
          </w:p>
        </w:tc>
        <w:tc>
          <w:tcPr>
            <w:tcW w:w="1628"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培养条件</w:t>
            </w:r>
          </w:p>
        </w:tc>
        <w:tc>
          <w:tcPr>
            <w:tcW w:w="718"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检测模型</w:t>
            </w:r>
          </w:p>
        </w:tc>
        <w:tc>
          <w:tcPr>
            <w:tcW w:w="1077" w:type="pct"/>
            <w:tcBorders>
              <w:top w:val="single" w:color="auto" w:sz="8" w:space="0"/>
              <w:bottom w:val="single" w:color="auto" w:sz="6" w:space="0"/>
            </w:tcBorders>
            <w:vAlign w:val="center"/>
          </w:tcPr>
          <w:p>
            <w:pPr>
              <w:spacing w:line="400" w:lineRule="exact"/>
              <w:jc w:val="center"/>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观察时间</w:t>
            </w:r>
          </w:p>
        </w:tc>
        <w:tc>
          <w:tcPr>
            <w:tcW w:w="756"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检测方式</w:t>
            </w:r>
          </w:p>
        </w:tc>
      </w:tr>
      <w:tr>
        <w:trPr>
          <w:trHeight w:val="194" w:hRule="atLeast"/>
          <w:jc w:val="center"/>
        </w:trPr>
        <w:tc>
          <w:tcPr>
            <w:tcW w:w="818" w:type="pct"/>
            <w:tcBorders>
              <w:top w:val="single" w:color="auto" w:sz="6"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阳性对照组</w:t>
            </w:r>
          </w:p>
        </w:tc>
        <w:tc>
          <w:tcPr>
            <w:tcW w:w="1628" w:type="pct"/>
            <w:tcBorders>
              <w:top w:val="single" w:color="auto" w:sz="6" w:space="0"/>
            </w:tcBorders>
            <w:vAlign w:val="center"/>
          </w:tcPr>
          <w:p>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含</w:t>
            </w:r>
            <w:r>
              <w:rPr>
                <w:rFonts w:hint="eastAsia" w:ascii="宋体" w:hAnsi="宋体" w:eastAsia="宋体" w:cs="宋体"/>
                <w:sz w:val="24"/>
                <w:szCs w:val="24"/>
              </w:rPr>
              <w:t>10%血清培养基</w:t>
            </w:r>
          </w:p>
        </w:tc>
        <w:tc>
          <w:tcPr>
            <w:tcW w:w="718" w:type="pct"/>
            <w:vMerge w:val="restart"/>
            <w:tcBorders>
              <w:top w:val="single" w:color="auto" w:sz="6" w:space="0"/>
            </w:tcBorders>
            <w:vAlign w:val="center"/>
          </w:tcPr>
          <w:p>
            <w:pPr>
              <w:spacing w:line="400" w:lineRule="exact"/>
              <w:jc w:val="center"/>
              <w:rPr>
                <w:rFonts w:hint="eastAsia" w:ascii="宋体" w:hAnsi="宋体" w:eastAsia="宋体" w:cs="宋体"/>
                <w:sz w:val="24"/>
                <w:szCs w:val="24"/>
                <w:lang w:val="en-US" w:eastAsia="zh-Hans"/>
              </w:rPr>
            </w:pPr>
            <w:r>
              <w:rPr>
                <w:rFonts w:hint="eastAsia" w:ascii="宋体" w:hAnsi="宋体" w:eastAsia="宋体" w:cs="宋体"/>
                <w:sz w:val="24"/>
                <w:szCs w:val="24"/>
              </w:rPr>
              <w:t>细胞</w:t>
            </w:r>
            <w:r>
              <w:rPr>
                <w:rFonts w:hint="eastAsia" w:ascii="宋体" w:hAnsi="宋体" w:eastAsia="宋体" w:cs="宋体"/>
                <w:sz w:val="24"/>
                <w:szCs w:val="24"/>
                <w:lang w:val="en-US" w:eastAsia="zh-Hans"/>
              </w:rPr>
              <w:t>系</w:t>
            </w:r>
          </w:p>
        </w:tc>
        <w:tc>
          <w:tcPr>
            <w:tcW w:w="1077" w:type="pct"/>
            <w:vMerge w:val="restart"/>
            <w:tcBorders>
              <w:top w:val="single" w:color="auto" w:sz="6" w:space="0"/>
            </w:tcBorders>
            <w:vAlign w:val="center"/>
          </w:tcPr>
          <w:p>
            <w:pPr>
              <w:spacing w:line="400" w:lineRule="exact"/>
              <w:jc w:val="center"/>
              <w:rPr>
                <w:rFonts w:hint="eastAsia" w:ascii="宋体" w:hAnsi="宋体" w:eastAsia="宋体" w:cs="宋体"/>
                <w:sz w:val="24"/>
                <w:szCs w:val="24"/>
                <w:lang w:val="en-US" w:eastAsia="zh-Hans"/>
              </w:rPr>
            </w:pPr>
            <w:r>
              <w:rPr>
                <w:rFonts w:hint="eastAsia" w:ascii="宋体" w:hAnsi="宋体" w:eastAsia="宋体" w:cs="宋体"/>
                <w:sz w:val="24"/>
                <w:szCs w:val="24"/>
              </w:rPr>
              <w:t>0h、12h、24h</w:t>
            </w:r>
          </w:p>
        </w:tc>
        <w:tc>
          <w:tcPr>
            <w:tcW w:w="756" w:type="pct"/>
            <w:vMerge w:val="restart"/>
            <w:tcBorders>
              <w:top w:val="single" w:color="auto" w:sz="6" w:space="0"/>
            </w:tcBorders>
            <w:vAlign w:val="center"/>
          </w:tcPr>
          <w:p>
            <w:pPr>
              <w:spacing w:line="4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显微镜观察拍摄图片</w:t>
            </w:r>
          </w:p>
        </w:tc>
      </w:tr>
      <w:tr>
        <w:trPr>
          <w:jc w:val="center"/>
        </w:trPr>
        <w:tc>
          <w:tcPr>
            <w:tcW w:w="818" w:type="pct"/>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空白对照组</w:t>
            </w:r>
          </w:p>
        </w:tc>
        <w:tc>
          <w:tcPr>
            <w:tcW w:w="1628" w:type="pct"/>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无血清培养基</w:t>
            </w:r>
          </w:p>
        </w:tc>
        <w:tc>
          <w:tcPr>
            <w:tcW w:w="718" w:type="pct"/>
            <w:vMerge w:val="continue"/>
            <w:vAlign w:val="center"/>
          </w:tcPr>
          <w:p>
            <w:pPr>
              <w:spacing w:line="400" w:lineRule="exact"/>
              <w:jc w:val="center"/>
              <w:rPr>
                <w:rFonts w:hint="eastAsia" w:ascii="宋体" w:hAnsi="宋体" w:eastAsia="宋体" w:cs="宋体"/>
                <w:sz w:val="24"/>
                <w:szCs w:val="24"/>
              </w:rPr>
            </w:pPr>
          </w:p>
        </w:tc>
        <w:tc>
          <w:tcPr>
            <w:tcW w:w="1077" w:type="pct"/>
            <w:vMerge w:val="continue"/>
            <w:vAlign w:val="center"/>
          </w:tcPr>
          <w:p>
            <w:pPr>
              <w:spacing w:line="400" w:lineRule="exact"/>
              <w:jc w:val="center"/>
              <w:rPr>
                <w:rFonts w:hint="eastAsia" w:ascii="宋体" w:hAnsi="宋体" w:eastAsia="宋体" w:cs="宋体"/>
                <w:sz w:val="24"/>
                <w:szCs w:val="24"/>
              </w:rPr>
            </w:pPr>
          </w:p>
        </w:tc>
        <w:tc>
          <w:tcPr>
            <w:tcW w:w="756" w:type="pct"/>
            <w:vMerge w:val="continue"/>
            <w:vAlign w:val="center"/>
          </w:tcPr>
          <w:p>
            <w:pPr>
              <w:spacing w:line="400" w:lineRule="exact"/>
              <w:jc w:val="center"/>
              <w:rPr>
                <w:rFonts w:hint="eastAsia" w:ascii="宋体" w:hAnsi="宋体" w:eastAsia="宋体" w:cs="宋体"/>
                <w:sz w:val="24"/>
                <w:szCs w:val="24"/>
              </w:rPr>
            </w:pPr>
          </w:p>
        </w:tc>
      </w:tr>
      <w:tr>
        <w:trPr>
          <w:trHeight w:val="162" w:hRule="atLeast"/>
          <w:jc w:val="center"/>
        </w:trPr>
        <w:tc>
          <w:tcPr>
            <w:tcW w:w="818" w:type="pct"/>
            <w:tcBorders>
              <w:bottom w:val="single" w:color="auto" w:sz="8" w:space="0"/>
            </w:tcBorders>
            <w:vAlign w:val="center"/>
          </w:tcPr>
          <w:p>
            <w:pPr>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试验</w:t>
            </w:r>
            <w:r>
              <w:rPr>
                <w:rFonts w:hint="eastAsia" w:ascii="宋体" w:hAnsi="宋体" w:eastAsia="宋体" w:cs="宋体"/>
                <w:sz w:val="24"/>
                <w:szCs w:val="24"/>
              </w:rPr>
              <w:t>组</w:t>
            </w:r>
          </w:p>
        </w:tc>
        <w:tc>
          <w:tcPr>
            <w:tcW w:w="1628" w:type="pct"/>
            <w:tcBorders>
              <w:bottom w:val="single" w:color="auto" w:sz="8" w:space="0"/>
            </w:tcBorders>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样品无血清培养基溶液</w:t>
            </w:r>
          </w:p>
        </w:tc>
        <w:tc>
          <w:tcPr>
            <w:tcW w:w="718" w:type="pct"/>
            <w:vMerge w:val="continue"/>
            <w:tcBorders>
              <w:bottom w:val="single" w:color="auto" w:sz="8" w:space="0"/>
            </w:tcBorders>
            <w:vAlign w:val="center"/>
          </w:tcPr>
          <w:p>
            <w:pPr>
              <w:spacing w:line="400" w:lineRule="exact"/>
              <w:jc w:val="center"/>
              <w:rPr>
                <w:rFonts w:hint="eastAsia" w:ascii="宋体" w:hAnsi="宋体" w:eastAsia="宋体" w:cs="宋体"/>
                <w:sz w:val="24"/>
                <w:szCs w:val="24"/>
              </w:rPr>
            </w:pPr>
          </w:p>
        </w:tc>
        <w:tc>
          <w:tcPr>
            <w:tcW w:w="1077" w:type="pct"/>
            <w:vMerge w:val="continue"/>
            <w:tcBorders>
              <w:bottom w:val="single" w:color="auto" w:sz="8" w:space="0"/>
            </w:tcBorders>
            <w:vAlign w:val="center"/>
          </w:tcPr>
          <w:p>
            <w:pPr>
              <w:spacing w:line="400" w:lineRule="exact"/>
              <w:jc w:val="center"/>
              <w:rPr>
                <w:rFonts w:hint="eastAsia" w:ascii="宋体" w:hAnsi="宋体" w:eastAsia="宋体" w:cs="宋体"/>
                <w:sz w:val="24"/>
                <w:szCs w:val="24"/>
              </w:rPr>
            </w:pPr>
          </w:p>
        </w:tc>
        <w:tc>
          <w:tcPr>
            <w:tcW w:w="756" w:type="pct"/>
            <w:vMerge w:val="continue"/>
            <w:tcBorders>
              <w:bottom w:val="single" w:color="auto" w:sz="8" w:space="0"/>
            </w:tcBorders>
            <w:vAlign w:val="center"/>
          </w:tcPr>
          <w:p>
            <w:pPr>
              <w:spacing w:line="400" w:lineRule="exact"/>
              <w:jc w:val="center"/>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bookmarkEnd w:id="39"/>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444444"/>
          <w:spacing w:val="0"/>
          <w:kern w:val="0"/>
          <w:sz w:val="24"/>
          <w:szCs w:val="24"/>
          <w:u w:val="none"/>
          <w:shd w:val="clear" w:fill="FFFFFF"/>
          <w:lang w:eastAsia="zh-Hans" w:bidi="ar"/>
        </w:rPr>
      </w:pPr>
      <w:r>
        <w:rPr>
          <w:rFonts w:hint="eastAsia" w:ascii="宋体" w:hAnsi="宋体" w:eastAsia="宋体" w:cs="宋体"/>
          <w:sz w:val="24"/>
          <w:szCs w:val="24"/>
        </w:rPr>
        <w:t>迁移率</w:t>
      </w: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1485900</wp:posOffset>
                </wp:positionH>
                <wp:positionV relativeFrom="paragraph">
                  <wp:posOffset>83185</wp:posOffset>
                </wp:positionV>
                <wp:extent cx="635" cy="0"/>
                <wp:effectExtent l="0" t="6350" r="0" b="6350"/>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6.55pt;height:0pt;width:0.05pt;z-index:251662336;mso-width-relative:page;mso-height-relative:page;" filled="f" stroked="t" coordsize="21600,21600" o:gfxdata="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Z3W69MAAAAJAQAADwAAAAAAAAABACAAAAA4AAAAZHJzL2Rvd25yZXYueG1sUEsBAhQA&#10;FAAAAAgAh07iQDyMaF/hAQAAqAMAAA4AAAAAAAAAAQAgAAAAOA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sz w:val="24"/>
          <w:szCs w:val="24"/>
        </w:rPr>
        <w:t xml:space="preserve">(%) = </w:t>
      </w:r>
      <m:oMath>
        <m:f>
          <m:fPr>
            <m:ctrlPr>
              <w:rPr>
                <w:rFonts w:hint="eastAsia" w:ascii="DejaVu Math TeX Gyre" w:hAnsi="DejaVu Math TeX Gyre" w:eastAsia="宋体" w:cs="宋体"/>
                <w:sz w:val="24"/>
                <w:szCs w:val="24"/>
              </w:rPr>
            </m:ctrlPr>
          </m:fPr>
          <m:num>
            <m:r>
              <m:rPr/>
              <w:rPr>
                <w:rFonts w:hint="eastAsia" w:ascii="DejaVu Math TeX Gyre" w:hAnsi="DejaVu Math TeX Gyre" w:eastAsia="宋体" w:cs="宋体"/>
                <w:sz w:val="24"/>
                <w:szCs w:val="24"/>
              </w:rPr>
              <m:t>0H面积−12/24H面积</m:t>
            </m:r>
            <m:ctrlPr>
              <w:rPr>
                <w:rFonts w:hint="eastAsia" w:ascii="DejaVu Math TeX Gyre" w:hAnsi="DejaVu Math TeX Gyre" w:eastAsia="宋体" w:cs="宋体"/>
                <w:sz w:val="24"/>
                <w:szCs w:val="24"/>
              </w:rPr>
            </m:ctrlPr>
          </m:num>
          <m:den>
            <m:r>
              <m:rPr>
                <m:sty m:val="p"/>
              </m:rPr>
              <w:rPr>
                <w:rFonts w:hint="eastAsia" w:ascii="DejaVu Math TeX Gyre" w:hAnsi="DejaVu Math TeX Gyre" w:eastAsia="宋体" w:cs="宋体"/>
                <w:sz w:val="24"/>
                <w:szCs w:val="24"/>
              </w:rPr>
              <m:t>0H面积</m:t>
            </m:r>
            <m:ctrlPr>
              <w:rPr>
                <w:rFonts w:hint="eastAsia" w:ascii="DejaVu Math TeX Gyre" w:hAnsi="DejaVu Math TeX Gyre" w:eastAsia="宋体" w:cs="宋体"/>
                <w:sz w:val="24"/>
                <w:szCs w:val="24"/>
              </w:rPr>
            </m:ctrlPr>
          </m:den>
        </m:f>
        <m:r>
          <m:rPr>
            <m:sty m:val="p"/>
          </m:rPr>
          <w:rPr>
            <w:rFonts w:hint="eastAsia" w:ascii="DejaVu Math TeX Gyre" w:hAnsi="DejaVu Math TeX Gyre" w:eastAsia="宋体" w:cs="宋体"/>
            <w:sz w:val="24"/>
            <w:szCs w:val="24"/>
          </w:rPr>
          <m:t xml:space="preserve"> ×100%</m:t>
        </m:r>
      </m:oMath>
      <w:r>
        <w:rPr>
          <w:rFonts w:hint="eastAsia" w:ascii="宋体" w:hAnsi="宋体" w:eastAsia="宋体" w:cs="宋体"/>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Cs/>
          <w:sz w:val="24"/>
          <w:szCs w:val="24"/>
          <w:lang w:val="en-US" w:eastAsia="zh-CN"/>
        </w:rPr>
        <w:t>式</w:t>
      </w:r>
      <w:r>
        <w:rPr>
          <w:rFonts w:hint="eastAsia" w:ascii="宋体" w:hAnsi="宋体" w:eastAsia="宋体" w:cs="宋体"/>
          <w:bCs/>
          <w:sz w:val="24"/>
          <w:szCs w:val="24"/>
          <w:lang w:eastAsia="zh-CN"/>
        </w:rPr>
        <w:t>1</w:t>
      </w:r>
      <w:r>
        <w:rPr>
          <w:rFonts w:hint="eastAsia" w:ascii="宋体" w:hAnsi="宋体" w:eastAsia="宋体" w:cs="宋体"/>
          <w:bCs/>
          <w:sz w:val="24"/>
          <w:szCs w:val="24"/>
          <w:lang w:val="en-US" w:eastAsia="zh-CN"/>
        </w:rPr>
        <w:t>-</w:t>
      </w:r>
      <w:r>
        <w:rPr>
          <w:rFonts w:hint="eastAsia" w:hAnsi="宋体" w:eastAsia="宋体" w:cs="宋体"/>
          <w:bCs/>
          <w:sz w:val="24"/>
          <w:szCs w:val="24"/>
          <w:lang w:val="en-US" w:eastAsia="zh-CN"/>
        </w:rPr>
        <w:t>3</w:t>
      </w:r>
    </w:p>
    <w:p>
      <w:pPr>
        <w:pStyle w:val="3"/>
        <w:rPr>
          <w:rStyle w:val="15"/>
          <w:rFonts w:hint="eastAsia" w:ascii="宋体" w:hAnsi="宋体" w:eastAsia="宋体" w:cs="宋体"/>
          <w:b w:val="0"/>
          <w:bCs/>
          <w:sz w:val="24"/>
          <w:szCs w:val="24"/>
          <w:lang w:val="en-US" w:eastAsia="zh-Hans"/>
        </w:rPr>
      </w:pPr>
      <w:r>
        <w:rPr>
          <w:rStyle w:val="15"/>
          <w:rFonts w:hint="eastAsia" w:ascii="宋体" w:hAnsi="宋体" w:eastAsia="宋体" w:cs="宋体"/>
          <w:b w:val="0"/>
          <w:bCs/>
          <w:sz w:val="24"/>
          <w:szCs w:val="24"/>
        </w:rPr>
        <w:t>6</w:t>
      </w:r>
      <w:r>
        <w:rPr>
          <w:rStyle w:val="15"/>
          <w:rFonts w:hint="eastAsia" w:ascii="宋体" w:hAnsi="宋体" w:eastAsia="宋体" w:cs="宋体"/>
          <w:b w:val="0"/>
          <w:bCs/>
          <w:sz w:val="24"/>
          <w:szCs w:val="24"/>
          <w:lang w:val="en-US" w:eastAsia="zh-Hans"/>
        </w:rPr>
        <w:t>.</w:t>
      </w:r>
      <w:r>
        <w:rPr>
          <w:rStyle w:val="15"/>
          <w:rFonts w:hint="eastAsia" w:ascii="宋体" w:hAnsi="宋体" w:eastAsia="宋体" w:cs="宋体"/>
          <w:b w:val="0"/>
          <w:bCs/>
          <w:sz w:val="24"/>
          <w:szCs w:val="24"/>
          <w:lang w:eastAsia="zh-Hans"/>
        </w:rPr>
        <w:t xml:space="preserve">5 </w:t>
      </w:r>
      <w:r>
        <w:rPr>
          <w:rStyle w:val="15"/>
          <w:rFonts w:hint="eastAsia" w:ascii="宋体" w:hAnsi="宋体" w:eastAsia="宋体" w:cs="宋体"/>
          <w:b w:val="0"/>
          <w:bCs/>
          <w:sz w:val="24"/>
          <w:szCs w:val="24"/>
          <w:lang w:val="en-US" w:eastAsia="zh-Hans"/>
        </w:rPr>
        <w:t>结果分析</w:t>
      </w:r>
    </w:p>
    <w:p>
      <w:pPr>
        <w:pStyle w:val="3"/>
        <w:ind w:firstLine="480" w:firstLineChars="200"/>
        <w:rPr>
          <w:rFonts w:hint="eastAsia" w:ascii="宋体" w:hAnsi="宋体" w:eastAsia="宋体" w:cs="宋体"/>
          <w:sz w:val="24"/>
          <w:szCs w:val="24"/>
        </w:rPr>
      </w:pPr>
      <w:r>
        <w:rPr>
          <w:rFonts w:hint="eastAsia" w:ascii="宋体" w:hAnsi="宋体" w:eastAsia="宋体" w:cs="宋体"/>
          <w:b w:val="0"/>
          <w:bCs w:val="0"/>
          <w:color w:val="000000"/>
          <w:kern w:val="0"/>
          <w:sz w:val="24"/>
          <w:szCs w:val="24"/>
          <w:lang w:val="en-US" w:eastAsia="zh-CN" w:bidi="ar"/>
        </w:rPr>
        <w:t>采用适宜的统计学方法评价试验结果</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color w:val="000000"/>
          <w:kern w:val="0"/>
          <w:sz w:val="24"/>
          <w:szCs w:val="24"/>
          <w:lang w:val="en-US" w:eastAsia="zh-CN" w:bidi="ar"/>
        </w:rPr>
        <w:t>并对空白对照组、试验组和/或阳性对照品组各组结果进行综合分析评估。</w:t>
      </w:r>
      <w:bookmarkEnd w:id="34"/>
      <w:bookmarkEnd w:id="35"/>
      <w:bookmarkStart w:id="40" w:name="_Toc399190715"/>
      <w:bookmarkEnd w:id="40"/>
      <w:bookmarkStart w:id="41" w:name="_Toc399190719"/>
      <w:bookmarkEnd w:id="41"/>
      <w:bookmarkStart w:id="42" w:name="_Toc399190725"/>
      <w:bookmarkEnd w:id="42"/>
      <w:bookmarkStart w:id="43" w:name="_Toc399190723"/>
      <w:bookmarkEnd w:id="43"/>
      <w:bookmarkStart w:id="44" w:name="_Toc399190713"/>
      <w:bookmarkEnd w:id="44"/>
      <w:bookmarkStart w:id="45" w:name="_Toc399190720"/>
      <w:bookmarkEnd w:id="45"/>
      <w:bookmarkStart w:id="46" w:name="_Toc399190699"/>
      <w:bookmarkEnd w:id="46"/>
      <w:bookmarkStart w:id="47" w:name="_Toc399190722"/>
      <w:bookmarkEnd w:id="47"/>
      <w:bookmarkStart w:id="48" w:name="_Toc399190721"/>
      <w:bookmarkEnd w:id="48"/>
    </w:p>
    <w:p>
      <w:pPr>
        <w:snapToGrid w:val="0"/>
        <w:spacing w:line="360" w:lineRule="auto"/>
        <w:rPr>
          <w:rFonts w:hint="eastAsia" w:ascii="Times New Roman" w:hAnsi="Times New Roman" w:eastAsia="宋体" w:cs="Times New Roman"/>
          <w:b/>
          <w:bCs/>
          <w:sz w:val="24"/>
          <w:szCs w:val="24"/>
        </w:rPr>
      </w:pPr>
    </w:p>
    <w:p>
      <w:pPr>
        <w:snapToGrid w:val="0"/>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w:t>
      </w:r>
      <w:r>
        <w:rPr>
          <w:rFonts w:ascii="Times New Roman" w:hAnsi="Times New Roman" w:eastAsia="宋体" w:cs="Times New Roman"/>
          <w:b/>
          <w:bCs/>
          <w:sz w:val="24"/>
          <w:szCs w:val="24"/>
        </w:rPr>
        <w:t xml:space="preserve">.3 </w:t>
      </w:r>
      <w:r>
        <w:rPr>
          <w:rFonts w:hint="eastAsia" w:ascii="Times New Roman" w:hAnsi="Times New Roman" w:eastAsia="宋体" w:cs="Times New Roman"/>
          <w:b/>
          <w:bCs/>
          <w:sz w:val="24"/>
          <w:szCs w:val="24"/>
        </w:rPr>
        <w:t>本标准制定参考的主要依据</w:t>
      </w:r>
    </w:p>
    <w:p>
      <w:pPr>
        <w:pStyle w:val="22"/>
        <w:keepNext w:val="0"/>
        <w:keepLines w:val="0"/>
        <w:pageBreakBefore w:val="0"/>
        <w:widowControl/>
        <w:numPr>
          <w:ilvl w:val="0"/>
          <w:numId w:val="0"/>
        </w:numPr>
        <w:kinsoku/>
        <w:wordWrap/>
        <w:overflowPunct/>
        <w:topLinePunct w:val="0"/>
        <w:bidi w:val="0"/>
        <w:adjustRightInd/>
        <w:snapToGrid/>
        <w:spacing w:before="156" w:after="156" w:line="360" w:lineRule="auto"/>
        <w:textAlignment w:val="auto"/>
        <w:rPr>
          <w:rFonts w:hint="eastAsia" w:ascii="Times New Roman" w:cs="Times New Roman"/>
          <w:color w:val="000000"/>
          <w:kern w:val="0"/>
          <w:sz w:val="24"/>
          <w:szCs w:val="24"/>
          <w:lang w:val="en-US" w:eastAsia="zh-CN"/>
        </w:rPr>
      </w:pPr>
      <w:bookmarkStart w:id="49" w:name="_Hlk107147813"/>
      <w:r>
        <w:rPr>
          <w:rFonts w:hint="eastAsia" w:ascii="Times New Roman" w:hAnsi="Times New Roman" w:eastAsia="宋体" w:cs="Times New Roman"/>
          <w:color w:val="000000"/>
          <w:kern w:val="0"/>
          <w:sz w:val="24"/>
          <w:szCs w:val="24"/>
        </w:rPr>
        <w:t>标准制定中参考引用了</w:t>
      </w:r>
      <w:r>
        <w:rPr>
          <w:rFonts w:hint="eastAsia" w:ascii="Times New Roman" w:cs="Times New Roman"/>
          <w:color w:val="000000"/>
          <w:kern w:val="0"/>
          <w:sz w:val="24"/>
          <w:szCs w:val="24"/>
          <w:lang w:val="en-US" w:eastAsia="zh-CN"/>
        </w:rPr>
        <w:t>以下文件</w:t>
      </w:r>
    </w:p>
    <w:p>
      <w:pPr>
        <w:pStyle w:val="22"/>
        <w:keepNext w:val="0"/>
        <w:keepLines w:val="0"/>
        <w:pageBreakBefore w:val="0"/>
        <w:widowControl/>
        <w:numPr>
          <w:ilvl w:val="0"/>
          <w:numId w:val="0"/>
        </w:numPr>
        <w:kinsoku/>
        <w:wordWrap/>
        <w:overflowPunct/>
        <w:topLinePunct w:val="0"/>
        <w:bidi w:val="0"/>
        <w:adjustRightInd/>
        <w:snapToGrid/>
        <w:spacing w:before="156" w:after="156" w:line="360" w:lineRule="auto"/>
        <w:textAlignment w:val="auto"/>
        <w:rPr>
          <w:rStyle w:val="15"/>
          <w:rFonts w:hint="eastAsia" w:ascii="宋体" w:hAnsi="宋体" w:eastAsia="宋体" w:cs="宋体"/>
          <w:b w:val="0"/>
          <w:bCs w:val="0"/>
          <w:sz w:val="24"/>
          <w:szCs w:val="24"/>
          <w:lang w:eastAsia="zh-Hans"/>
        </w:rPr>
      </w:pPr>
      <w:r>
        <w:rPr>
          <w:rFonts w:hint="eastAsia" w:ascii="宋体" w:hAnsi="宋体" w:eastAsia="宋体" w:cs="宋体"/>
          <w:sz w:val="24"/>
          <w:szCs w:val="24"/>
        </w:rPr>
        <w:t xml:space="preserve">[1] </w:t>
      </w:r>
      <w:r>
        <w:rPr>
          <w:rFonts w:hint="eastAsia" w:ascii="宋体" w:hAnsi="宋体" w:eastAsia="宋体" w:cs="宋体"/>
          <w:sz w:val="24"/>
          <w:szCs w:val="24"/>
          <w:lang w:val="en-US" w:eastAsia="zh-Hans"/>
        </w:rPr>
        <w:t>国家质量监督检验检疫总局</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中国国家标准化管理委员会</w:t>
      </w:r>
      <w:r>
        <w:rPr>
          <w:rFonts w:hint="eastAsia" w:ascii="宋体" w:hAnsi="宋体" w:eastAsia="宋体" w:cs="宋体"/>
          <w:sz w:val="24"/>
          <w:szCs w:val="24"/>
          <w:lang w:eastAsia="zh-Hans"/>
        </w:rPr>
        <w:t>：</w:t>
      </w:r>
      <w:r>
        <w:rPr>
          <w:rStyle w:val="15"/>
          <w:rFonts w:hint="eastAsia" w:ascii="宋体" w:hAnsi="宋体" w:eastAsia="宋体" w:cs="宋体"/>
          <w:b w:val="0"/>
          <w:bCs w:val="0"/>
          <w:sz w:val="24"/>
          <w:szCs w:val="24"/>
          <w:lang w:val="en-US" w:eastAsia="zh-Hans"/>
        </w:rPr>
        <w:t>GB/T16886.5</w:t>
      </w:r>
      <w:r>
        <w:rPr>
          <w:rStyle w:val="15"/>
          <w:rFonts w:hint="eastAsia" w:ascii="宋体" w:hAnsi="宋体" w:eastAsia="宋体" w:cs="宋体"/>
          <w:b w:val="0"/>
          <w:bCs w:val="0"/>
          <w:sz w:val="24"/>
          <w:szCs w:val="24"/>
          <w:lang w:eastAsia="zh-Hans"/>
        </w:rPr>
        <w:t xml:space="preserve">-2017 </w:t>
      </w:r>
      <w:r>
        <w:rPr>
          <w:rStyle w:val="15"/>
          <w:rFonts w:hint="eastAsia" w:ascii="宋体" w:hAnsi="宋体" w:eastAsia="宋体" w:cs="宋体"/>
          <w:b w:val="0"/>
          <w:bCs w:val="0"/>
          <w:sz w:val="24"/>
          <w:szCs w:val="24"/>
          <w:lang w:val="en-US" w:eastAsia="zh-Hans"/>
        </w:rPr>
        <w:t>医疗器械生物学评价</w:t>
      </w:r>
      <w:r>
        <w:rPr>
          <w:rStyle w:val="15"/>
          <w:rFonts w:hint="eastAsia" w:ascii="宋体" w:hAnsi="宋体" w:eastAsia="宋体" w:cs="宋体"/>
          <w:b w:val="0"/>
          <w:bCs w:val="0"/>
          <w:sz w:val="24"/>
          <w:szCs w:val="24"/>
          <w:lang w:eastAsia="zh-Hans"/>
        </w:rPr>
        <w:t xml:space="preserve"> </w:t>
      </w:r>
      <w:r>
        <w:rPr>
          <w:rStyle w:val="15"/>
          <w:rFonts w:hint="eastAsia" w:ascii="宋体" w:hAnsi="宋体" w:eastAsia="宋体" w:cs="宋体"/>
          <w:b w:val="0"/>
          <w:bCs w:val="0"/>
          <w:sz w:val="24"/>
          <w:szCs w:val="24"/>
          <w:lang w:val="en-US" w:eastAsia="zh-Hans"/>
        </w:rPr>
        <w:t>第</w:t>
      </w:r>
      <w:r>
        <w:rPr>
          <w:rStyle w:val="15"/>
          <w:rFonts w:hint="eastAsia" w:ascii="宋体" w:hAnsi="宋体" w:eastAsia="宋体" w:cs="宋体"/>
          <w:b w:val="0"/>
          <w:bCs w:val="0"/>
          <w:sz w:val="24"/>
          <w:szCs w:val="24"/>
          <w:lang w:eastAsia="zh-Hans"/>
        </w:rPr>
        <w:t>5</w:t>
      </w:r>
      <w:r>
        <w:rPr>
          <w:rStyle w:val="15"/>
          <w:rFonts w:hint="eastAsia" w:ascii="宋体" w:hAnsi="宋体" w:eastAsia="宋体" w:cs="宋体"/>
          <w:b w:val="0"/>
          <w:bCs w:val="0"/>
          <w:sz w:val="24"/>
          <w:szCs w:val="24"/>
          <w:lang w:val="en-US" w:eastAsia="zh-Hans"/>
        </w:rPr>
        <w:t>部分</w:t>
      </w:r>
      <w:r>
        <w:rPr>
          <w:rStyle w:val="15"/>
          <w:rFonts w:hint="eastAsia" w:ascii="宋体" w:hAnsi="宋体" w:eastAsia="宋体" w:cs="宋体"/>
          <w:b w:val="0"/>
          <w:bCs w:val="0"/>
          <w:sz w:val="24"/>
          <w:szCs w:val="24"/>
          <w:lang w:eastAsia="zh-Hans"/>
        </w:rPr>
        <w:t>：</w:t>
      </w:r>
      <w:r>
        <w:rPr>
          <w:rStyle w:val="15"/>
          <w:rFonts w:hint="eastAsia" w:ascii="宋体" w:hAnsi="宋体" w:eastAsia="宋体" w:cs="宋体"/>
          <w:b w:val="0"/>
          <w:bCs w:val="0"/>
          <w:sz w:val="24"/>
          <w:szCs w:val="24"/>
          <w:lang w:val="en-US" w:eastAsia="zh-Hans"/>
        </w:rPr>
        <w:t>体外细胞毒性试验</w:t>
      </w:r>
      <w:r>
        <w:rPr>
          <w:rStyle w:val="15"/>
          <w:rFonts w:hint="eastAsia" w:ascii="宋体" w:hAnsi="宋体" w:eastAsia="宋体" w:cs="宋体"/>
          <w:b w:val="0"/>
          <w:bCs w:val="0"/>
          <w:sz w:val="24"/>
          <w:szCs w:val="24"/>
          <w:lang w:eastAsia="zh-Hans"/>
        </w:rPr>
        <w:t>，</w:t>
      </w:r>
      <w:r>
        <w:rPr>
          <w:rStyle w:val="15"/>
          <w:rFonts w:hint="eastAsia" w:ascii="宋体" w:hAnsi="宋体" w:eastAsia="宋体" w:cs="宋体"/>
          <w:b w:val="0"/>
          <w:bCs w:val="0"/>
          <w:sz w:val="24"/>
          <w:szCs w:val="24"/>
          <w:lang w:val="en-US" w:eastAsia="zh-Hans"/>
        </w:rPr>
        <w:t>北京</w:t>
      </w:r>
      <w:r>
        <w:rPr>
          <w:rStyle w:val="15"/>
          <w:rFonts w:hint="eastAsia" w:ascii="宋体" w:hAnsi="宋体" w:eastAsia="宋体" w:cs="宋体"/>
          <w:b w:val="0"/>
          <w:bCs w:val="0"/>
          <w:sz w:val="24"/>
          <w:szCs w:val="24"/>
          <w:lang w:eastAsia="zh-Hans"/>
        </w:rPr>
        <w:t>：</w:t>
      </w:r>
      <w:r>
        <w:rPr>
          <w:rStyle w:val="15"/>
          <w:rFonts w:hint="eastAsia" w:ascii="宋体" w:hAnsi="宋体" w:eastAsia="宋体" w:cs="宋体"/>
          <w:b w:val="0"/>
          <w:bCs w:val="0"/>
          <w:sz w:val="24"/>
          <w:szCs w:val="24"/>
          <w:lang w:val="en-US" w:eastAsia="zh-Hans"/>
        </w:rPr>
        <w:t>中国标准出版社</w:t>
      </w:r>
      <w:r>
        <w:rPr>
          <w:rStyle w:val="15"/>
          <w:rFonts w:hint="eastAsia" w:ascii="宋体" w:hAnsi="宋体" w:eastAsia="宋体" w:cs="宋体"/>
          <w:b w:val="0"/>
          <w:bCs w:val="0"/>
          <w:sz w:val="24"/>
          <w:szCs w:val="24"/>
          <w:lang w:eastAsia="zh-Hans"/>
        </w:rPr>
        <w:t>，2017</w:t>
      </w:r>
    </w:p>
    <w:p>
      <w:pPr>
        <w:pStyle w:val="22"/>
        <w:keepNext w:val="0"/>
        <w:keepLines w:val="0"/>
        <w:pageBreakBefore w:val="0"/>
        <w:widowControl/>
        <w:numPr>
          <w:ilvl w:val="0"/>
          <w:numId w:val="0"/>
        </w:numPr>
        <w:kinsoku/>
        <w:wordWrap/>
        <w:overflowPunct/>
        <w:topLinePunct w:val="0"/>
        <w:bidi w:val="0"/>
        <w:adjustRightInd/>
        <w:snapToGrid/>
        <w:spacing w:before="156" w:after="156" w:line="360" w:lineRule="auto"/>
        <w:textAlignment w:val="auto"/>
        <w:rPr>
          <w:rStyle w:val="15"/>
          <w:rFonts w:hint="eastAsia" w:ascii="宋体" w:hAnsi="宋体" w:eastAsia="宋体" w:cs="宋体"/>
          <w:b w:val="0"/>
          <w:bCs w:val="0"/>
          <w:sz w:val="24"/>
          <w:szCs w:val="24"/>
          <w:lang w:eastAsia="zh-Hans"/>
        </w:rPr>
      </w:pPr>
      <w:r>
        <w:rPr>
          <w:rFonts w:hint="eastAsia" w:ascii="宋体" w:hAnsi="宋体" w:eastAsia="宋体" w:cs="宋体"/>
          <w:sz w:val="24"/>
          <w:szCs w:val="24"/>
        </w:rPr>
        <w:t xml:space="preserve">[2] </w:t>
      </w:r>
      <w:r>
        <w:rPr>
          <w:rFonts w:hint="eastAsia" w:ascii="宋体" w:hAnsi="宋体" w:eastAsia="宋体" w:cs="宋体"/>
          <w:sz w:val="24"/>
          <w:szCs w:val="24"/>
          <w:lang w:val="en-US" w:eastAsia="zh-Hans"/>
        </w:rPr>
        <w:t>国家质量监督检验检疫总局</w:t>
      </w: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中国国家标准化管理委员会</w:t>
      </w:r>
      <w:r>
        <w:rPr>
          <w:rStyle w:val="15"/>
          <w:rFonts w:hint="eastAsia" w:hAnsi="宋体" w:cs="宋体"/>
          <w:b w:val="0"/>
          <w:bCs w:val="0"/>
          <w:sz w:val="24"/>
          <w:szCs w:val="24"/>
          <w:lang w:val="en-US" w:eastAsia="zh-CN"/>
        </w:rPr>
        <w:t>GB/T16886.12-2017 医疗器械生物学评价 第12部分：样品制备与参照样品，</w:t>
      </w:r>
      <w:r>
        <w:rPr>
          <w:rStyle w:val="15"/>
          <w:rFonts w:hint="eastAsia" w:ascii="宋体" w:hAnsi="宋体" w:eastAsia="宋体" w:cs="宋体"/>
          <w:b w:val="0"/>
          <w:bCs w:val="0"/>
          <w:sz w:val="24"/>
          <w:szCs w:val="24"/>
          <w:lang w:val="en-US" w:eastAsia="zh-Hans"/>
        </w:rPr>
        <w:t>北京</w:t>
      </w:r>
      <w:r>
        <w:rPr>
          <w:rStyle w:val="15"/>
          <w:rFonts w:hint="eastAsia" w:ascii="宋体" w:hAnsi="宋体" w:eastAsia="宋体" w:cs="宋体"/>
          <w:b w:val="0"/>
          <w:bCs w:val="0"/>
          <w:sz w:val="24"/>
          <w:szCs w:val="24"/>
          <w:lang w:eastAsia="zh-Hans"/>
        </w:rPr>
        <w:t>：</w:t>
      </w:r>
      <w:r>
        <w:rPr>
          <w:rStyle w:val="15"/>
          <w:rFonts w:hint="eastAsia" w:ascii="宋体" w:hAnsi="宋体" w:eastAsia="宋体" w:cs="宋体"/>
          <w:b w:val="0"/>
          <w:bCs w:val="0"/>
          <w:sz w:val="24"/>
          <w:szCs w:val="24"/>
          <w:lang w:val="en-US" w:eastAsia="zh-Hans"/>
        </w:rPr>
        <w:t>中国标准出版社</w:t>
      </w:r>
      <w:r>
        <w:rPr>
          <w:rStyle w:val="15"/>
          <w:rFonts w:hint="eastAsia" w:ascii="宋体" w:hAnsi="宋体" w:eastAsia="宋体" w:cs="宋体"/>
          <w:b w:val="0"/>
          <w:bCs w:val="0"/>
          <w:sz w:val="24"/>
          <w:szCs w:val="24"/>
          <w:lang w:eastAsia="zh-Hans"/>
        </w:rPr>
        <w:t>，2017</w:t>
      </w:r>
    </w:p>
    <w:p>
      <w:pPr>
        <w:pStyle w:val="22"/>
        <w:keepNext w:val="0"/>
        <w:keepLines w:val="0"/>
        <w:pageBreakBefore w:val="0"/>
        <w:widowControl/>
        <w:numPr>
          <w:ilvl w:val="0"/>
          <w:numId w:val="0"/>
        </w:numPr>
        <w:kinsoku/>
        <w:wordWrap/>
        <w:overflowPunct/>
        <w:topLinePunct w:val="0"/>
        <w:bidi w:val="0"/>
        <w:adjustRightInd/>
        <w:snapToGrid/>
        <w:spacing w:before="156" w:after="156" w:line="360" w:lineRule="auto"/>
        <w:textAlignment w:val="auto"/>
        <w:rPr>
          <w:rFonts w:hint="eastAsia" w:ascii="宋体" w:hAnsi="宋体" w:eastAsia="宋体" w:cs="宋体"/>
          <w:color w:val="000000"/>
          <w:kern w:val="0"/>
          <w:sz w:val="24"/>
          <w:szCs w:val="24"/>
          <w:lang w:eastAsia="zh-Hans" w:bidi="ar"/>
        </w:rPr>
      </w:pPr>
      <w:r>
        <w:rPr>
          <w:rFonts w:hint="eastAsia" w:ascii="宋体" w:hAnsi="宋体" w:eastAsia="宋体" w:cs="宋体"/>
          <w:sz w:val="24"/>
          <w:szCs w:val="24"/>
        </w:rPr>
        <w:t>[</w:t>
      </w:r>
      <w:r>
        <w:rPr>
          <w:rFonts w:hint="eastAsia" w:hAnsi="宋体" w:cs="宋体"/>
          <w:sz w:val="24"/>
          <w:szCs w:val="24"/>
          <w:lang w:val="en-US" w:eastAsia="zh-CN"/>
        </w:rPr>
        <w:t>3</w:t>
      </w:r>
      <w:r>
        <w:rPr>
          <w:rFonts w:hint="eastAsia" w:ascii="宋体" w:hAnsi="宋体" w:eastAsia="宋体" w:cs="宋体"/>
          <w:sz w:val="24"/>
          <w:szCs w:val="24"/>
        </w:rPr>
        <w:t xml:space="preserve">] </w:t>
      </w:r>
      <w:r>
        <w:rPr>
          <w:rFonts w:hint="eastAsia" w:ascii="宋体" w:hAnsi="宋体" w:eastAsia="宋体" w:cs="宋体"/>
          <w:color w:val="000000"/>
          <w:kern w:val="0"/>
          <w:sz w:val="24"/>
          <w:szCs w:val="24"/>
          <w:lang w:val="en-US" w:eastAsia="zh-CN" w:bidi="ar"/>
        </w:rPr>
        <w:t>杨敏一</w:t>
      </w:r>
      <w:r>
        <w:rPr>
          <w:rFonts w:hint="eastAsia" w:ascii="宋体" w:hAnsi="宋体" w:eastAsia="宋体" w:cs="宋体"/>
          <w:color w:val="000000"/>
          <w:kern w:val="0"/>
          <w:sz w:val="24"/>
          <w:szCs w:val="24"/>
          <w:lang w:eastAsia="zh-CN" w:bidi="ar"/>
        </w:rPr>
        <w:t xml:space="preserve"> </w:t>
      </w:r>
      <w:r>
        <w:rPr>
          <w:rFonts w:hint="eastAsia" w:ascii="宋体" w:hAnsi="宋体" w:eastAsia="宋体" w:cs="宋体"/>
          <w:color w:val="000000"/>
          <w:kern w:val="0"/>
          <w:sz w:val="24"/>
          <w:szCs w:val="24"/>
          <w:lang w:val="en-US" w:eastAsia="zh-CN" w:bidi="ar"/>
        </w:rPr>
        <w:t>王涵</w:t>
      </w:r>
      <w:r>
        <w:rPr>
          <w:rFonts w:hint="eastAsia" w:ascii="宋体" w:hAnsi="宋体" w:eastAsia="宋体" w:cs="宋体"/>
          <w:color w:val="000000"/>
          <w:kern w:val="0"/>
          <w:sz w:val="24"/>
          <w:szCs w:val="24"/>
          <w:lang w:eastAsia="zh-CN" w:bidi="ar"/>
        </w:rPr>
        <w:t xml:space="preserve"> </w:t>
      </w:r>
      <w:r>
        <w:rPr>
          <w:rFonts w:hint="eastAsia" w:ascii="宋体" w:hAnsi="宋体" w:eastAsia="宋体" w:cs="宋体"/>
          <w:color w:val="000000"/>
          <w:kern w:val="0"/>
          <w:sz w:val="24"/>
          <w:szCs w:val="24"/>
          <w:lang w:val="en-US" w:eastAsia="zh-CN" w:bidi="ar"/>
        </w:rPr>
        <w:t>曾行</w:t>
      </w:r>
      <w:r>
        <w:rPr>
          <w:rFonts w:hint="eastAsia" w:ascii="宋体" w:hAnsi="宋体" w:eastAsia="宋体" w:cs="宋体"/>
          <w:color w:val="000000"/>
          <w:kern w:val="0"/>
          <w:sz w:val="24"/>
          <w:szCs w:val="24"/>
          <w:lang w:eastAsia="zh-CN" w:bidi="ar"/>
        </w:rPr>
        <w:t xml:space="preserve"> </w:t>
      </w:r>
      <w:r>
        <w:rPr>
          <w:rFonts w:hint="eastAsia" w:ascii="宋体" w:hAnsi="宋体" w:eastAsia="宋体" w:cs="宋体"/>
          <w:color w:val="000000"/>
          <w:kern w:val="0"/>
          <w:sz w:val="24"/>
          <w:szCs w:val="24"/>
          <w:lang w:val="en-US" w:eastAsia="zh-CN" w:bidi="ar"/>
        </w:rPr>
        <w:t>孟珠</w:t>
      </w:r>
      <w:r>
        <w:rPr>
          <w:rFonts w:hint="eastAsia" w:ascii="宋体" w:hAnsi="宋体" w:eastAsia="宋体" w:cs="宋体"/>
          <w:color w:val="000000"/>
          <w:kern w:val="0"/>
          <w:sz w:val="24"/>
          <w:szCs w:val="24"/>
          <w:lang w:eastAsia="zh-CN" w:bidi="ar"/>
        </w:rPr>
        <w:t xml:space="preserve"> </w:t>
      </w:r>
      <w:r>
        <w:rPr>
          <w:rFonts w:hint="eastAsia" w:ascii="宋体" w:hAnsi="宋体" w:eastAsia="宋体" w:cs="宋体"/>
          <w:color w:val="000000"/>
          <w:kern w:val="0"/>
          <w:sz w:val="24"/>
          <w:szCs w:val="24"/>
          <w:lang w:val="en-US" w:eastAsia="zh-CN" w:bidi="ar"/>
        </w:rPr>
        <w:t>王春仁</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Hans" w:bidi="ar"/>
        </w:rPr>
        <w:t>离子温度双敏感型黏膜创面保护胶性能及黏膜修复有效性体外评价研究</w:t>
      </w:r>
      <w:r>
        <w:rPr>
          <w:rFonts w:hint="eastAsia" w:ascii="宋体" w:hAnsi="宋体" w:eastAsia="宋体" w:cs="宋体"/>
          <w:color w:val="000000"/>
          <w:kern w:val="0"/>
          <w:sz w:val="24"/>
          <w:szCs w:val="24"/>
          <w:lang w:eastAsia="zh-Hans" w:bidi="ar"/>
        </w:rPr>
        <w:t>，</w:t>
      </w:r>
      <w:r>
        <w:rPr>
          <w:rFonts w:hint="eastAsia" w:ascii="宋体" w:hAnsi="宋体" w:eastAsia="宋体" w:cs="宋体"/>
          <w:color w:val="000000"/>
          <w:kern w:val="0"/>
          <w:sz w:val="24"/>
          <w:szCs w:val="24"/>
          <w:lang w:val="en-US" w:eastAsia="zh-Hans" w:bidi="ar"/>
        </w:rPr>
        <w:t>北京生物医学工程</w:t>
      </w:r>
      <w:r>
        <w:rPr>
          <w:rFonts w:hint="eastAsia" w:ascii="宋体" w:hAnsi="宋体" w:eastAsia="宋体" w:cs="宋体"/>
          <w:color w:val="000000"/>
          <w:kern w:val="0"/>
          <w:sz w:val="24"/>
          <w:szCs w:val="24"/>
          <w:lang w:eastAsia="zh-Hans" w:bidi="ar"/>
        </w:rPr>
        <w:t>，41(4)：405-412，2022</w:t>
      </w:r>
    </w:p>
    <w:p>
      <w:pPr>
        <w:keepNext w:val="0"/>
        <w:keepLines w:val="0"/>
        <w:pageBreakBefore w:val="0"/>
        <w:widowControl/>
        <w:suppressLineNumbers w:val="0"/>
        <w:kinsoku/>
        <w:wordWrap/>
        <w:overflowPunct/>
        <w:topLinePunct w:val="0"/>
        <w:bidi w:val="0"/>
        <w:adjustRightInd/>
        <w:snapToGrid/>
        <w:spacing w:line="360" w:lineRule="auto"/>
        <w:jc w:val="left"/>
        <w:textAlignment w:val="auto"/>
        <w:rPr>
          <w:rFonts w:ascii="Times New Roman" w:hAnsi="Times New Roman" w:eastAsia="宋体" w:cs="Times New Roman"/>
          <w:color w:val="000000"/>
          <w:kern w:val="0"/>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 xml:space="preserve">] </w:t>
      </w:r>
      <w:r>
        <w:rPr>
          <w:rFonts w:hint="eastAsia" w:ascii="宋体" w:hAnsi="宋体" w:eastAsia="宋体" w:cs="宋体"/>
          <w:b w:val="0"/>
          <w:bCs w:val="0"/>
          <w:color w:val="000000"/>
          <w:kern w:val="0"/>
          <w:sz w:val="24"/>
          <w:szCs w:val="24"/>
          <w:lang w:eastAsia="zh-Hans" w:bidi="ar"/>
        </w:rPr>
        <w:t xml:space="preserve"> </w:t>
      </w:r>
      <w:r>
        <w:rPr>
          <w:rFonts w:hint="eastAsia" w:ascii="宋体" w:hAnsi="宋体" w:eastAsia="宋体" w:cs="宋体"/>
          <w:b w:val="0"/>
          <w:bCs w:val="0"/>
          <w:color w:val="131413"/>
          <w:kern w:val="0"/>
          <w:sz w:val="24"/>
          <w:szCs w:val="24"/>
          <w:lang w:val="en-US" w:eastAsia="zh-CN" w:bidi="ar"/>
        </w:rPr>
        <w:t>Hang Zeng, Muye He, Minyi Yang,Zhu Meng,Han Wang, Chunren Wang</w:t>
      </w:r>
      <w:r>
        <w:rPr>
          <w:rFonts w:hint="eastAsia" w:ascii="宋体" w:hAnsi="宋体" w:eastAsia="宋体" w:cs="宋体"/>
          <w:b w:val="0"/>
          <w:bCs w:val="0"/>
          <w:color w:val="131413"/>
          <w:kern w:val="0"/>
          <w:sz w:val="24"/>
          <w:szCs w:val="24"/>
          <w:lang w:eastAsia="zh-CN" w:bidi="ar"/>
        </w:rPr>
        <w:t>：</w:t>
      </w:r>
      <w:r>
        <w:rPr>
          <w:rFonts w:hint="eastAsia" w:ascii="宋体" w:hAnsi="宋体" w:eastAsia="宋体" w:cs="宋体"/>
          <w:b w:val="0"/>
          <w:bCs w:val="0"/>
          <w:color w:val="131413"/>
          <w:kern w:val="0"/>
          <w:sz w:val="24"/>
          <w:szCs w:val="24"/>
          <w:lang w:val="en-US" w:eastAsia="zh-CN" w:bidi="ar"/>
        </w:rPr>
        <w:t>In Vitro and In Vivo Investigation on the</w:t>
      </w:r>
      <w:r>
        <w:rPr>
          <w:rFonts w:hint="eastAsia" w:ascii="宋体" w:hAnsi="宋体" w:eastAsia="宋体" w:cs="宋体"/>
          <w:b w:val="0"/>
          <w:bCs w:val="0"/>
          <w:color w:val="131413"/>
          <w:kern w:val="0"/>
          <w:sz w:val="24"/>
          <w:szCs w:val="24"/>
          <w:lang w:eastAsia="zh-CN" w:bidi="ar"/>
        </w:rPr>
        <w:t xml:space="preserve"> </w:t>
      </w:r>
      <w:r>
        <w:rPr>
          <w:rFonts w:hint="eastAsia" w:ascii="宋体" w:hAnsi="宋体" w:eastAsia="宋体" w:cs="宋体"/>
          <w:b w:val="0"/>
          <w:bCs w:val="0"/>
          <w:color w:val="131413"/>
          <w:kern w:val="0"/>
          <w:sz w:val="24"/>
          <w:szCs w:val="24"/>
          <w:lang w:val="en-US" w:eastAsia="zh-CN" w:bidi="ar"/>
        </w:rPr>
        <w:t>Effectiveness of Alginate-Based Gastric Mucosal Protective Gel</w:t>
      </w:r>
      <w:r>
        <w:rPr>
          <w:rFonts w:hint="eastAsia" w:ascii="宋体" w:hAnsi="宋体" w:eastAsia="宋体" w:cs="宋体"/>
          <w:b w:val="0"/>
          <w:bCs w:val="0"/>
          <w:color w:val="131413"/>
          <w:kern w:val="0"/>
          <w:sz w:val="24"/>
          <w:szCs w:val="24"/>
          <w:lang w:eastAsia="zh-CN" w:bidi="ar"/>
        </w:rPr>
        <w:t xml:space="preserve">, </w:t>
      </w:r>
      <w:r>
        <w:rPr>
          <w:rFonts w:hint="eastAsia" w:ascii="宋体" w:hAnsi="宋体" w:eastAsia="宋体" w:cs="宋体"/>
          <w:b w:val="0"/>
          <w:bCs w:val="0"/>
          <w:color w:val="231F20"/>
          <w:kern w:val="0"/>
          <w:sz w:val="24"/>
          <w:szCs w:val="24"/>
          <w:lang w:val="en-US" w:eastAsia="zh-CN" w:bidi="ar"/>
        </w:rPr>
        <w:t>BioMed Research International</w:t>
      </w:r>
      <w:r>
        <w:rPr>
          <w:rFonts w:hint="eastAsia" w:ascii="宋体" w:hAnsi="宋体" w:eastAsia="宋体" w:cs="宋体"/>
          <w:b w:val="0"/>
          <w:bCs w:val="0"/>
          <w:color w:val="231F20"/>
          <w:kern w:val="0"/>
          <w:sz w:val="24"/>
          <w:szCs w:val="24"/>
          <w:lang w:eastAsia="zh-CN" w:bidi="ar"/>
        </w:rPr>
        <w:t>,</w:t>
      </w:r>
      <w:r>
        <w:rPr>
          <w:rFonts w:hint="eastAsia" w:ascii="宋体" w:hAnsi="宋体" w:eastAsia="宋体" w:cs="宋体"/>
          <w:b w:val="0"/>
          <w:bCs w:val="0"/>
          <w:color w:val="231F20"/>
          <w:kern w:val="0"/>
          <w:sz w:val="24"/>
          <w:szCs w:val="24"/>
          <w:lang w:val="en-US" w:eastAsia="zh-CN" w:bidi="ar"/>
        </w:rPr>
        <w:t xml:space="preserve"> Volume 2022, Article ID 8287163, 11pages</w:t>
      </w:r>
      <w:r>
        <w:rPr>
          <w:rFonts w:hint="eastAsia" w:ascii="宋体" w:hAnsi="宋体" w:eastAsia="宋体" w:cs="宋体"/>
          <w:b w:val="0"/>
          <w:bCs w:val="0"/>
          <w:color w:val="231F20"/>
          <w:kern w:val="0"/>
          <w:sz w:val="24"/>
          <w:szCs w:val="24"/>
          <w:lang w:eastAsia="zh-CN" w:bidi="ar"/>
        </w:rPr>
        <w:t>，2022</w:t>
      </w:r>
      <w:r>
        <w:rPr>
          <w:rFonts w:hint="eastAsia" w:ascii="Times New Roman" w:hAnsi="Times New Roman" w:eastAsia="宋体" w:cs="Times New Roman"/>
          <w:color w:val="000000"/>
          <w:kern w:val="0"/>
          <w:sz w:val="24"/>
          <w:szCs w:val="24"/>
        </w:rPr>
        <w:t>。</w:t>
      </w:r>
    </w:p>
    <w:bookmarkEnd w:id="49"/>
    <w:p>
      <w:pPr>
        <w:snapToGrid w:val="0"/>
        <w:spacing w:line="360" w:lineRule="auto"/>
        <w:rPr>
          <w:rFonts w:ascii="Times New Roman" w:hAnsi="Times New Roman" w:eastAsia="宋体" w:cs="Times New Roman"/>
          <w:b/>
          <w:bCs/>
          <w:sz w:val="24"/>
          <w:szCs w:val="24"/>
        </w:rPr>
      </w:pPr>
    </w:p>
    <w:p>
      <w:pPr>
        <w:snapToGrid w:val="0"/>
        <w:spacing w:line="360" w:lineRule="auto"/>
        <w:rPr>
          <w:rFonts w:ascii="Times New Roman" w:hAnsi="Times New Roman" w:eastAsia="宋体" w:cs="Times New Roman"/>
          <w:sz w:val="24"/>
          <w:szCs w:val="24"/>
        </w:rPr>
      </w:pPr>
      <w:r>
        <w:rPr>
          <w:rFonts w:ascii="Times New Roman" w:hAnsi="Times New Roman" w:eastAsia="宋体" w:cs="Times New Roman"/>
          <w:b/>
          <w:bCs/>
          <w:sz w:val="24"/>
          <w:szCs w:val="24"/>
        </w:rPr>
        <w:t>3 主要实验（验证）的分析、综述报告，技术经济论证，预期经济效果</w:t>
      </w:r>
    </w:p>
    <w:p>
      <w:pPr>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3.1 主要结果分析</w:t>
      </w:r>
    </w:p>
    <w:p>
      <w:pPr>
        <w:pStyle w:val="3"/>
        <w:rPr>
          <w:rStyle w:val="15"/>
          <w:rFonts w:hint="eastAsia" w:ascii="宋体" w:hAnsi="宋体" w:eastAsia="宋体" w:cs="宋体"/>
          <w:b/>
          <w:bCs/>
          <w:color w:val="auto"/>
          <w:sz w:val="24"/>
          <w:szCs w:val="24"/>
          <w:lang w:eastAsia="zh-CN"/>
        </w:rPr>
      </w:pPr>
      <w:r>
        <w:rPr>
          <w:rStyle w:val="15"/>
          <w:rFonts w:hint="eastAsia" w:ascii="宋体" w:hAnsi="宋体" w:eastAsia="宋体" w:cs="宋体"/>
          <w:b/>
          <w:bCs/>
          <w:color w:val="auto"/>
          <w:sz w:val="24"/>
          <w:szCs w:val="24"/>
          <w:lang w:val="en-US" w:eastAsia="zh-CN"/>
        </w:rPr>
        <w:t>3.1.1</w:t>
      </w:r>
      <w:r>
        <w:rPr>
          <w:rStyle w:val="15"/>
          <w:rFonts w:hint="eastAsia" w:ascii="宋体" w:hAnsi="宋体" w:eastAsia="宋体" w:cs="宋体"/>
          <w:b/>
          <w:bCs/>
          <w:color w:val="auto"/>
          <w:sz w:val="24"/>
          <w:szCs w:val="24"/>
        </w:rPr>
        <w:t>.细胞毒性</w:t>
      </w:r>
      <w:r>
        <w:rPr>
          <w:rStyle w:val="15"/>
          <w:rFonts w:hint="eastAsia" w:ascii="宋体" w:hAnsi="宋体" w:eastAsia="宋体" w:cs="宋体"/>
          <w:b/>
          <w:bCs/>
          <w:color w:val="auto"/>
          <w:sz w:val="24"/>
          <w:szCs w:val="24"/>
          <w:lang w:val="en-US" w:eastAsia="zh-CN"/>
        </w:rPr>
        <w:t>试验</w:t>
      </w:r>
    </w:p>
    <w:p>
      <w:pPr>
        <w:spacing w:line="40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按照国家标准中推荐的MTT方法进行细胞毒性实验。实验设置空白对照组(10%含新生胎牛血清低糖DMEM培养基)、阴性对照组(高密度聚乙烯浸提液)、阳性对照组(含有10% DMSO完全培养基)，不同样品组(不同浓度样品溶液/浸提液)，每个实验组设置6个复孔，每孔加入100 µL细胞悬液。将复苏好的Fibroblasts细胞传至两代以上呈对数生长期时，按照1×10</w:t>
      </w:r>
      <w:r>
        <w:rPr>
          <w:rFonts w:hint="eastAsia" w:ascii="宋体" w:hAnsi="宋体" w:eastAsia="宋体" w:cs="宋体"/>
          <w:color w:val="auto"/>
          <w:sz w:val="24"/>
          <w:szCs w:val="24"/>
          <w:vertAlign w:val="superscript"/>
        </w:rPr>
        <w:t>5</w:t>
      </w:r>
      <w:r>
        <w:rPr>
          <w:rFonts w:hint="eastAsia" w:ascii="宋体" w:hAnsi="宋体" w:eastAsia="宋体" w:cs="宋体"/>
          <w:color w:val="auto"/>
          <w:sz w:val="24"/>
          <w:szCs w:val="24"/>
        </w:rPr>
        <w:t>个/mL密度制备细胞悬液，然后接种到96孔板内，放入CO</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细胞培养箱在37℃下培养24小时，移去旧培养基，按照实验设置加入对应培养液，继续培养24小时后，在显微镜下观察每组细胞形态，弃去每组培养液后加入1mg/mL 50 µL MTT溶液，放入细胞培养箱中孵育3小时后弃去孵育液，加入100 µL异丙醇，用振荡器上振荡使蓝紫色结晶充分溶解混匀，在酶标仪上检测570 nm和650 nm波长的吸光度值并按照公式</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-1计算细胞存活率。</w:t>
      </w:r>
    </w:p>
    <w:p>
      <w:pPr>
        <w:pStyle w:val="6"/>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83185</wp:posOffset>
                </wp:positionV>
                <wp:extent cx="635" cy="0"/>
                <wp:effectExtent l="0" t="6350" r="0" b="63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6.55pt;height:0pt;width:0.05pt;z-index:251659264;mso-width-relative:page;mso-height-relative:page;" filled="f" stroked="t" coordsize="21600,21600" o:gfxdata="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tndbr0wAAAAkBAAAPAAAAAAAAAAEAIAAAADgAAABkcnMvZG93bnJldi54bWxQSwECFAAU&#10;AAAACACHTuJArQVAEuABAACmAwAADgAAAAAAAAABACAAAAA4AQAAZHJzL2Uyb0RvYy54bWxQSwUG&#10;AAAAAAYABgBZAQAAigUAAAAA&#10;">
                <v:fill on="f" focussize="0,0"/>
                <v:stroke color="#000000" joinstyle="round"/>
                <v:imagedata o:title=""/>
                <o:lock v:ext="edit" aspectratio="f"/>
              </v:line>
            </w:pict>
          </mc:Fallback>
        </mc:AlternateContent>
      </w:r>
      <w:r>
        <w:rPr>
          <w:rFonts w:hint="eastAsia" w:ascii="宋体" w:hAnsi="宋体" w:eastAsia="宋体" w:cs="宋体"/>
          <w:iCs/>
          <w:color w:val="auto"/>
          <w:sz w:val="24"/>
          <w:szCs w:val="24"/>
        </w:rPr>
        <w:t xml:space="preserve"> </w:t>
      </w:r>
      <w:r>
        <w:rPr>
          <w:rFonts w:hint="eastAsia" w:ascii="宋体" w:hAnsi="宋体" w:eastAsia="宋体" w:cs="宋体"/>
          <w:color w:val="auto"/>
          <w:sz w:val="24"/>
          <w:szCs w:val="24"/>
          <w:lang w:val="en-US" w:eastAsia="zh-CN"/>
        </w:rPr>
        <w:t>细胞相对存活率(%)=</w:t>
      </w:r>
      <w:r>
        <w:rPr>
          <w:rFonts w:hint="eastAsia" w:ascii="宋体" w:hAnsi="宋体" w:eastAsia="宋体" w:cs="宋体"/>
          <w:color w:val="auto"/>
          <w:sz w:val="24"/>
          <w:szCs w:val="24"/>
        </w:rPr>
        <w:t xml:space="preserve"> </w:t>
      </w:r>
      <m:oMath>
        <m:f>
          <m:fPr>
            <m:ctrlPr>
              <w:rPr>
                <w:rFonts w:hint="eastAsia" w:ascii="DejaVu Math TeX Gyre" w:hAnsi="DejaVu Math TeX Gyre" w:eastAsia="宋体" w:cs="宋体"/>
                <w:color w:val="auto"/>
                <w:sz w:val="24"/>
                <w:szCs w:val="24"/>
              </w:rPr>
            </m:ctrlPr>
          </m:fPr>
          <m:num>
            <m:sSub>
              <m:sSubPr>
                <m:ctrlPr>
                  <w:rPr>
                    <w:rFonts w:hint="eastAsia" w:ascii="DejaVu Math TeX Gyre" w:hAnsi="DejaVu Math TeX Gyre" w:eastAsia="宋体" w:cs="宋体"/>
                    <w:i/>
                    <w:color w:val="auto"/>
                    <w:sz w:val="24"/>
                    <w:szCs w:val="24"/>
                  </w:rPr>
                </m:ctrlPr>
              </m:sSubPr>
              <m:e>
                <m:r>
                  <m:rPr/>
                  <w:rPr>
                    <w:rFonts w:hint="eastAsia" w:ascii="DejaVu Math TeX Gyre" w:hAnsi="DejaVu Math TeX Gyre" w:eastAsia="宋体" w:cs="宋体"/>
                    <w:color w:val="auto"/>
                    <w:sz w:val="24"/>
                    <w:szCs w:val="24"/>
                  </w:rPr>
                  <m:t>A</m:t>
                </m:r>
                <m:ctrlPr>
                  <w:rPr>
                    <w:rFonts w:hint="eastAsia" w:ascii="DejaVu Math TeX Gyre" w:hAnsi="DejaVu Math TeX Gyre" w:eastAsia="宋体" w:cs="宋体"/>
                    <w:i/>
                    <w:color w:val="auto"/>
                    <w:sz w:val="24"/>
                    <w:szCs w:val="24"/>
                  </w:rPr>
                </m:ctrlPr>
              </m:e>
              <m:sub>
                <m:r>
                  <m:rPr/>
                  <w:rPr>
                    <w:rFonts w:hint="eastAsia" w:ascii="DejaVu Math TeX Gyre" w:hAnsi="DejaVu Math TeX Gyre" w:eastAsia="宋体" w:cs="宋体"/>
                    <w:color w:val="auto"/>
                    <w:sz w:val="24"/>
                    <w:szCs w:val="24"/>
                  </w:rPr>
                  <m:t>570nm</m:t>
                </m:r>
                <m:ctrlPr>
                  <w:rPr>
                    <w:rFonts w:hint="eastAsia" w:ascii="DejaVu Math TeX Gyre" w:hAnsi="DejaVu Math TeX Gyre" w:eastAsia="宋体" w:cs="宋体"/>
                    <w:i/>
                    <w:color w:val="auto"/>
                    <w:sz w:val="24"/>
                    <w:szCs w:val="24"/>
                  </w:rPr>
                </m:ctrlPr>
              </m:sub>
            </m:sSub>
            <m:r>
              <m:rPr/>
              <w:rPr>
                <w:rFonts w:hint="eastAsia" w:ascii="DejaVu Math TeX Gyre" w:hAnsi="DejaVu Math TeX Gyre" w:eastAsia="宋体" w:cs="宋体"/>
                <w:color w:val="auto"/>
                <w:sz w:val="24"/>
                <w:szCs w:val="24"/>
              </w:rPr>
              <m:t>−</m:t>
            </m:r>
            <m:sSub>
              <m:sSubPr>
                <m:ctrlPr>
                  <w:rPr>
                    <w:rFonts w:hint="eastAsia" w:ascii="DejaVu Math TeX Gyre" w:hAnsi="DejaVu Math TeX Gyre" w:eastAsia="宋体" w:cs="宋体"/>
                    <w:i/>
                    <w:color w:val="auto"/>
                    <w:sz w:val="24"/>
                    <w:szCs w:val="24"/>
                  </w:rPr>
                </m:ctrlPr>
              </m:sSubPr>
              <m:e>
                <m:r>
                  <m:rPr/>
                  <w:rPr>
                    <w:rFonts w:hint="eastAsia" w:ascii="DejaVu Math TeX Gyre" w:hAnsi="DejaVu Math TeX Gyre" w:eastAsia="宋体" w:cs="宋体"/>
                    <w:color w:val="auto"/>
                    <w:sz w:val="24"/>
                    <w:szCs w:val="24"/>
                  </w:rPr>
                  <m:t>A</m:t>
                </m:r>
                <m:ctrlPr>
                  <w:rPr>
                    <w:rFonts w:hint="eastAsia" w:ascii="DejaVu Math TeX Gyre" w:hAnsi="DejaVu Math TeX Gyre" w:eastAsia="宋体" w:cs="宋体"/>
                    <w:i/>
                    <w:color w:val="auto"/>
                    <w:sz w:val="24"/>
                    <w:szCs w:val="24"/>
                  </w:rPr>
                </m:ctrlPr>
              </m:e>
              <m:sub>
                <m:r>
                  <m:rPr/>
                  <w:rPr>
                    <w:rFonts w:hint="eastAsia" w:ascii="DejaVu Math TeX Gyre" w:hAnsi="DejaVu Math TeX Gyre" w:eastAsia="宋体" w:cs="宋体"/>
                    <w:color w:val="auto"/>
                    <w:sz w:val="24"/>
                    <w:szCs w:val="24"/>
                  </w:rPr>
                  <m:t>650nm</m:t>
                </m:r>
                <m:ctrlPr>
                  <w:rPr>
                    <w:rFonts w:hint="eastAsia" w:ascii="DejaVu Math TeX Gyre" w:hAnsi="DejaVu Math TeX Gyre" w:eastAsia="宋体" w:cs="宋体"/>
                    <w:i/>
                    <w:color w:val="auto"/>
                    <w:sz w:val="24"/>
                    <w:szCs w:val="24"/>
                  </w:rPr>
                </m:ctrlPr>
              </m:sub>
            </m:sSub>
            <m:ctrlPr>
              <w:rPr>
                <w:rFonts w:hint="eastAsia" w:ascii="DejaVu Math TeX Gyre" w:hAnsi="DejaVu Math TeX Gyre" w:eastAsia="宋体" w:cs="宋体"/>
                <w:color w:val="auto"/>
                <w:sz w:val="24"/>
                <w:szCs w:val="24"/>
              </w:rPr>
            </m:ctrlPr>
          </m:num>
          <m:den>
            <m:sSub>
              <m:sSubPr>
                <m:ctrlPr>
                  <w:rPr>
                    <w:rFonts w:hint="eastAsia" w:ascii="DejaVu Math TeX Gyre" w:hAnsi="DejaVu Math TeX Gyre" w:eastAsia="宋体" w:cs="宋体"/>
                    <w:i/>
                    <w:color w:val="auto"/>
                    <w:sz w:val="24"/>
                    <w:szCs w:val="24"/>
                  </w:rPr>
                </m:ctrlPr>
              </m:sSubPr>
              <m:e>
                <m:r>
                  <m:rPr/>
                  <w:rPr>
                    <w:rFonts w:hint="eastAsia" w:ascii="DejaVu Math TeX Gyre" w:hAnsi="DejaVu Math TeX Gyre" w:eastAsia="宋体" w:cs="宋体"/>
                    <w:color w:val="auto"/>
                    <w:sz w:val="24"/>
                    <w:szCs w:val="24"/>
                  </w:rPr>
                  <m:t>B</m:t>
                </m:r>
                <m:ctrlPr>
                  <w:rPr>
                    <w:rFonts w:hint="eastAsia" w:ascii="DejaVu Math TeX Gyre" w:hAnsi="DejaVu Math TeX Gyre" w:eastAsia="宋体" w:cs="宋体"/>
                    <w:i/>
                    <w:color w:val="auto"/>
                    <w:sz w:val="24"/>
                    <w:szCs w:val="24"/>
                  </w:rPr>
                </m:ctrlPr>
              </m:e>
              <m:sub>
                <m:r>
                  <m:rPr/>
                  <w:rPr>
                    <w:rFonts w:hint="eastAsia" w:ascii="DejaVu Math TeX Gyre" w:hAnsi="DejaVu Math TeX Gyre" w:eastAsia="宋体" w:cs="宋体"/>
                    <w:color w:val="auto"/>
                    <w:sz w:val="24"/>
                    <w:szCs w:val="24"/>
                  </w:rPr>
                  <m:t>570nm</m:t>
                </m:r>
                <m:ctrlPr>
                  <w:rPr>
                    <w:rFonts w:hint="eastAsia" w:ascii="DejaVu Math TeX Gyre" w:hAnsi="DejaVu Math TeX Gyre" w:eastAsia="宋体" w:cs="宋体"/>
                    <w:i/>
                    <w:color w:val="auto"/>
                    <w:sz w:val="24"/>
                    <w:szCs w:val="24"/>
                  </w:rPr>
                </m:ctrlPr>
              </m:sub>
            </m:sSub>
            <m:r>
              <m:rPr/>
              <w:rPr>
                <w:rFonts w:hint="eastAsia" w:ascii="DejaVu Math TeX Gyre" w:hAnsi="DejaVu Math TeX Gyre" w:eastAsia="宋体" w:cs="宋体"/>
                <w:color w:val="auto"/>
                <w:sz w:val="24"/>
                <w:szCs w:val="24"/>
              </w:rPr>
              <m:t>−</m:t>
            </m:r>
            <m:sSub>
              <m:sSubPr>
                <m:ctrlPr>
                  <w:rPr>
                    <w:rFonts w:hint="eastAsia" w:ascii="DejaVu Math TeX Gyre" w:hAnsi="DejaVu Math TeX Gyre" w:eastAsia="宋体" w:cs="宋体"/>
                    <w:i/>
                    <w:color w:val="auto"/>
                    <w:sz w:val="24"/>
                    <w:szCs w:val="24"/>
                  </w:rPr>
                </m:ctrlPr>
              </m:sSubPr>
              <m:e>
                <m:r>
                  <m:rPr/>
                  <w:rPr>
                    <w:rFonts w:hint="eastAsia" w:ascii="DejaVu Math TeX Gyre" w:hAnsi="DejaVu Math TeX Gyre" w:eastAsia="宋体" w:cs="宋体"/>
                    <w:color w:val="auto"/>
                    <w:sz w:val="24"/>
                    <w:szCs w:val="24"/>
                  </w:rPr>
                  <m:t>B</m:t>
                </m:r>
                <m:ctrlPr>
                  <w:rPr>
                    <w:rFonts w:hint="eastAsia" w:ascii="DejaVu Math TeX Gyre" w:hAnsi="DejaVu Math TeX Gyre" w:eastAsia="宋体" w:cs="宋体"/>
                    <w:i/>
                    <w:color w:val="auto"/>
                    <w:sz w:val="24"/>
                    <w:szCs w:val="24"/>
                  </w:rPr>
                </m:ctrlPr>
              </m:e>
              <m:sub>
                <m:r>
                  <m:rPr/>
                  <w:rPr>
                    <w:rFonts w:hint="eastAsia" w:ascii="DejaVu Math TeX Gyre" w:hAnsi="DejaVu Math TeX Gyre" w:eastAsia="宋体" w:cs="宋体"/>
                    <w:color w:val="auto"/>
                    <w:sz w:val="24"/>
                    <w:szCs w:val="24"/>
                  </w:rPr>
                  <m:t>650nm</m:t>
                </m:r>
                <m:ctrlPr>
                  <w:rPr>
                    <w:rFonts w:hint="eastAsia" w:ascii="DejaVu Math TeX Gyre" w:hAnsi="DejaVu Math TeX Gyre" w:eastAsia="宋体" w:cs="宋体"/>
                    <w:i/>
                    <w:color w:val="auto"/>
                    <w:sz w:val="24"/>
                    <w:szCs w:val="24"/>
                  </w:rPr>
                </m:ctrlPr>
              </m:sub>
            </m:sSub>
            <m:ctrlPr>
              <w:rPr>
                <w:rFonts w:hint="eastAsia" w:ascii="DejaVu Math TeX Gyre" w:hAnsi="DejaVu Math TeX Gyre" w:eastAsia="宋体" w:cs="宋体"/>
                <w:color w:val="auto"/>
                <w:sz w:val="24"/>
                <w:szCs w:val="24"/>
              </w:rPr>
            </m:ctrlPr>
          </m:den>
        </m:f>
        <m:r>
          <m:rPr>
            <m:sty m:val="p"/>
          </m:rPr>
          <w:rPr>
            <w:rFonts w:hint="eastAsia" w:ascii="DejaVu Math TeX Gyre" w:hAnsi="DejaVu Math TeX Gyre" w:eastAsia="宋体" w:cs="宋体"/>
            <w:color w:val="auto"/>
            <w:sz w:val="24"/>
            <w:szCs w:val="24"/>
          </w:rPr>
          <m:t xml:space="preserve"> ×100%</m:t>
        </m:r>
      </m:oMath>
      <w:r>
        <w:rPr>
          <w:rFonts w:hint="eastAsia" w:ascii="宋体" w:hAnsi="宋体" w:eastAsia="宋体" w:cs="宋体"/>
          <w:color w:val="auto"/>
          <w:sz w:val="24"/>
          <w:szCs w:val="24"/>
          <w:lang w:eastAsia="zh-CN"/>
        </w:rPr>
        <w:t xml:space="preserve">         </w:t>
      </w:r>
      <w:r>
        <w:rPr>
          <w:rFonts w:hint="eastAsia" w:ascii="宋体" w:hAnsi="宋体" w:eastAsia="宋体" w:cs="宋体"/>
          <w:b/>
          <w:color w:val="auto"/>
          <w:sz w:val="24"/>
          <w:szCs w:val="24"/>
          <w:lang w:val="en-US" w:eastAsia="zh-CN"/>
        </w:rPr>
        <w:t xml:space="preserve">           </w:t>
      </w:r>
      <w:r>
        <w:rPr>
          <w:rFonts w:hint="eastAsia" w:ascii="宋体" w:hAnsi="宋体" w:eastAsia="宋体" w:cs="宋体"/>
          <w:bCs/>
          <w:color w:val="auto"/>
          <w:sz w:val="24"/>
          <w:szCs w:val="24"/>
          <w:lang w:val="en-US" w:eastAsia="zh-CN"/>
        </w:rPr>
        <w:t>式</w:t>
      </w:r>
      <w:r>
        <w:rPr>
          <w:rFonts w:hint="eastAsia" w:hAnsi="宋体" w:eastAsia="宋体" w:cs="宋体"/>
          <w:bCs/>
          <w:color w:val="auto"/>
          <w:sz w:val="24"/>
          <w:szCs w:val="24"/>
          <w:lang w:val="en-US" w:eastAsia="zh-CN"/>
        </w:rPr>
        <w:t>1</w:t>
      </w:r>
      <w:r>
        <w:rPr>
          <w:rFonts w:hint="eastAsia" w:ascii="宋体" w:hAnsi="宋体" w:eastAsia="宋体" w:cs="宋体"/>
          <w:bCs/>
          <w:color w:val="auto"/>
          <w:sz w:val="24"/>
          <w:szCs w:val="24"/>
          <w:lang w:val="en-US" w:eastAsia="zh-CN"/>
        </w:rPr>
        <w:t>-1</w:t>
      </w:r>
    </w:p>
    <w:p>
      <w:pPr>
        <w:spacing w:line="400" w:lineRule="exact"/>
        <w:ind w:firstLine="482"/>
        <w:jc w:val="both"/>
        <w:rPr>
          <w:rFonts w:hint="eastAsia" w:ascii="宋体" w:hAnsi="宋体" w:eastAsia="宋体" w:cs="宋体"/>
          <w:color w:val="auto"/>
          <w:sz w:val="24"/>
          <w:szCs w:val="24"/>
        </w:rPr>
      </w:pPr>
      <w:r>
        <w:rPr>
          <w:rFonts w:hint="eastAsia" w:ascii="宋体" w:hAnsi="宋体" w:eastAsia="宋体" w:cs="宋体"/>
          <w:color w:val="auto"/>
          <w:sz w:val="24"/>
          <w:szCs w:val="24"/>
        </w:rPr>
        <w:t>A ──不同生物材料组(阴性、阳性对照组)平均吸光度</w:t>
      </w:r>
    </w:p>
    <w:p>
      <w:pPr>
        <w:spacing w:line="400" w:lineRule="exact"/>
        <w:ind w:firstLine="482"/>
        <w:jc w:val="both"/>
        <w:rPr>
          <w:rFonts w:hint="eastAsia" w:ascii="宋体" w:hAnsi="宋体" w:eastAsia="宋体" w:cs="宋体"/>
          <w:color w:val="auto"/>
          <w:sz w:val="24"/>
          <w:szCs w:val="24"/>
        </w:rPr>
      </w:pPr>
      <w:r>
        <w:rPr>
          <w:rFonts w:hint="eastAsia" w:ascii="宋体" w:hAnsi="宋体" w:eastAsia="宋体" w:cs="宋体"/>
          <w:color w:val="auto"/>
          <w:sz w:val="24"/>
          <w:szCs w:val="24"/>
        </w:rPr>
        <w:t>B ──空白对照组平均吸光度</w:t>
      </w:r>
    </w:p>
    <w:p>
      <w:pPr>
        <w:spacing w:before="163" w:beforeLines="50" w:line="4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表</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细胞毒性</w:t>
      </w:r>
      <w:r>
        <w:rPr>
          <w:rFonts w:hint="eastAsia" w:ascii="宋体" w:hAnsi="宋体" w:eastAsia="宋体" w:cs="宋体"/>
          <w:bCs/>
          <w:color w:val="auto"/>
          <w:sz w:val="24"/>
          <w:szCs w:val="24"/>
          <w:lang w:val="en-US" w:eastAsia="zh-CN"/>
        </w:rPr>
        <w:t>试验</w:t>
      </w:r>
    </w:p>
    <w:tbl>
      <w:tblPr>
        <w:tblStyle w:val="13"/>
        <w:tblW w:w="5000"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11"/>
        <w:gridCol w:w="3540"/>
        <w:gridCol w:w="1348"/>
        <w:gridCol w:w="1754"/>
        <w:gridCol w:w="1509"/>
      </w:tblGrid>
      <w:tr>
        <w:trPr>
          <w:trHeight w:val="333" w:hRule="atLeast"/>
          <w:jc w:val="center"/>
        </w:trPr>
        <w:tc>
          <w:tcPr>
            <w:tcW w:w="909" w:type="pct"/>
            <w:tcBorders>
              <w:top w:val="single" w:color="auto" w:sz="8" w:space="0"/>
              <w:bottom w:val="single" w:color="auto" w:sz="6" w:space="0"/>
            </w:tcBorders>
            <w:vAlign w:val="center"/>
          </w:tcPr>
          <w:p>
            <w:pPr>
              <w:spacing w:line="400" w:lineRule="exac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实验分组</w:t>
            </w:r>
          </w:p>
        </w:tc>
        <w:tc>
          <w:tcPr>
            <w:tcW w:w="1776"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处理条件</w:t>
            </w:r>
          </w:p>
        </w:tc>
        <w:tc>
          <w:tcPr>
            <w:tcW w:w="676" w:type="pct"/>
            <w:tcBorders>
              <w:top w:val="single" w:color="auto" w:sz="8" w:space="0"/>
              <w:bottom w:val="single" w:color="auto" w:sz="6" w:space="0"/>
            </w:tcBorders>
            <w:vAlign w:val="center"/>
          </w:tcPr>
          <w:p>
            <w:pPr>
              <w:spacing w:line="400" w:lineRule="exact"/>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检测模型</w:t>
            </w:r>
          </w:p>
        </w:tc>
        <w:tc>
          <w:tcPr>
            <w:tcW w:w="880"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处理方式</w:t>
            </w:r>
          </w:p>
        </w:tc>
        <w:tc>
          <w:tcPr>
            <w:tcW w:w="757"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检测方法</w:t>
            </w:r>
          </w:p>
        </w:tc>
      </w:tr>
      <w:tr>
        <w:trPr>
          <w:trHeight w:val="204" w:hRule="atLeast"/>
          <w:jc w:val="center"/>
        </w:trPr>
        <w:tc>
          <w:tcPr>
            <w:tcW w:w="909" w:type="pct"/>
            <w:tcBorders>
              <w:top w:val="single" w:color="auto" w:sz="6" w:space="0"/>
            </w:tcBorders>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空白对照</w:t>
            </w:r>
          </w:p>
        </w:tc>
        <w:tc>
          <w:tcPr>
            <w:tcW w:w="1776" w:type="pct"/>
            <w:tcBorders>
              <w:top w:val="single" w:color="auto" w:sz="6"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含10%血清培养基</w:t>
            </w:r>
          </w:p>
        </w:tc>
        <w:tc>
          <w:tcPr>
            <w:tcW w:w="676" w:type="pct"/>
            <w:vMerge w:val="restart"/>
            <w:tcBorders>
              <w:top w:val="single" w:color="auto" w:sz="6" w:space="0"/>
            </w:tcBorders>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人成纤维细胞</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(Fibroblasts)</w:t>
            </w:r>
          </w:p>
        </w:tc>
        <w:tc>
          <w:tcPr>
            <w:tcW w:w="880" w:type="pct"/>
            <w:vMerge w:val="restart"/>
            <w:tcBorders>
              <w:top w:val="single" w:color="auto" w:sz="6" w:space="0"/>
            </w:tcBorders>
            <w:vAlign w:val="center"/>
          </w:tcPr>
          <w:p>
            <w:pPr>
              <w:spacing w:line="400" w:lineRule="exact"/>
              <w:rPr>
                <w:rFonts w:hint="eastAsia" w:ascii="宋体" w:hAnsi="宋体" w:eastAsia="宋体" w:cs="宋体"/>
                <w:color w:val="auto"/>
                <w:sz w:val="24"/>
                <w:szCs w:val="24"/>
                <w:vertAlign w:val="subscript"/>
              </w:rPr>
            </w:pPr>
            <w:r>
              <w:rPr>
                <w:rFonts w:hint="eastAsia" w:ascii="宋体" w:hAnsi="宋体" w:eastAsia="宋体" w:cs="宋体"/>
                <w:color w:val="auto"/>
                <w:sz w:val="24"/>
                <w:szCs w:val="24"/>
              </w:rPr>
              <w:t>37℃、5% CO</w:t>
            </w:r>
            <w:r>
              <w:rPr>
                <w:rFonts w:hint="eastAsia" w:ascii="宋体" w:hAnsi="宋体" w:eastAsia="宋体" w:cs="宋体"/>
                <w:color w:val="auto"/>
                <w:sz w:val="24"/>
                <w:szCs w:val="24"/>
                <w:vertAlign w:val="subscript"/>
              </w:rPr>
              <w:t>2</w:t>
            </w:r>
          </w:p>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共培养 24h</w:t>
            </w:r>
          </w:p>
        </w:tc>
        <w:tc>
          <w:tcPr>
            <w:tcW w:w="757" w:type="pct"/>
            <w:vMerge w:val="restart"/>
            <w:tcBorders>
              <w:top w:val="single" w:color="auto" w:sz="6" w:space="0"/>
            </w:tcBorders>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MTT法</w:t>
            </w:r>
          </w:p>
        </w:tc>
      </w:tr>
      <w:tr>
        <w:trPr>
          <w:jc w:val="center"/>
        </w:trPr>
        <w:tc>
          <w:tcPr>
            <w:tcW w:w="909" w:type="pct"/>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阴性对照</w:t>
            </w:r>
          </w:p>
        </w:tc>
        <w:tc>
          <w:tcPr>
            <w:tcW w:w="1776"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高密度聚乙烯含血清培养基浸提液</w:t>
            </w:r>
          </w:p>
        </w:tc>
        <w:tc>
          <w:tcPr>
            <w:tcW w:w="676" w:type="pct"/>
            <w:vMerge w:val="continue"/>
            <w:vAlign w:val="center"/>
          </w:tcPr>
          <w:p>
            <w:pPr>
              <w:spacing w:line="400" w:lineRule="exact"/>
              <w:jc w:val="center"/>
              <w:rPr>
                <w:rFonts w:hint="eastAsia" w:ascii="宋体" w:hAnsi="宋体" w:eastAsia="宋体" w:cs="宋体"/>
                <w:color w:val="auto"/>
                <w:sz w:val="24"/>
                <w:szCs w:val="24"/>
              </w:rPr>
            </w:pPr>
          </w:p>
        </w:tc>
        <w:tc>
          <w:tcPr>
            <w:tcW w:w="880" w:type="pct"/>
            <w:vMerge w:val="continue"/>
            <w:vAlign w:val="center"/>
          </w:tcPr>
          <w:p>
            <w:pPr>
              <w:spacing w:line="400" w:lineRule="exact"/>
              <w:jc w:val="center"/>
              <w:rPr>
                <w:rFonts w:hint="eastAsia" w:ascii="宋体" w:hAnsi="宋体" w:eastAsia="宋体" w:cs="宋体"/>
                <w:color w:val="auto"/>
                <w:sz w:val="24"/>
                <w:szCs w:val="24"/>
              </w:rPr>
            </w:pPr>
          </w:p>
        </w:tc>
        <w:tc>
          <w:tcPr>
            <w:tcW w:w="757" w:type="pct"/>
            <w:vMerge w:val="continue"/>
            <w:vAlign w:val="center"/>
          </w:tcPr>
          <w:p>
            <w:pPr>
              <w:spacing w:line="400" w:lineRule="exact"/>
              <w:jc w:val="center"/>
              <w:rPr>
                <w:rFonts w:hint="eastAsia" w:ascii="宋体" w:hAnsi="宋体" w:eastAsia="宋体" w:cs="宋体"/>
                <w:color w:val="auto"/>
                <w:sz w:val="24"/>
                <w:szCs w:val="24"/>
              </w:rPr>
            </w:pPr>
          </w:p>
        </w:tc>
      </w:tr>
      <w:tr>
        <w:trPr>
          <w:jc w:val="center"/>
        </w:trPr>
        <w:tc>
          <w:tcPr>
            <w:tcW w:w="909" w:type="pct"/>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阳性对照</w:t>
            </w:r>
          </w:p>
        </w:tc>
        <w:tc>
          <w:tcPr>
            <w:tcW w:w="1776"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10%DMSO含血清培养基</w:t>
            </w:r>
          </w:p>
        </w:tc>
        <w:tc>
          <w:tcPr>
            <w:tcW w:w="676" w:type="pct"/>
            <w:vMerge w:val="continue"/>
            <w:vAlign w:val="center"/>
          </w:tcPr>
          <w:p>
            <w:pPr>
              <w:spacing w:line="400" w:lineRule="exact"/>
              <w:jc w:val="center"/>
              <w:rPr>
                <w:rFonts w:hint="eastAsia" w:ascii="宋体" w:hAnsi="宋体" w:eastAsia="宋体" w:cs="宋体"/>
                <w:color w:val="auto"/>
                <w:sz w:val="24"/>
                <w:szCs w:val="24"/>
              </w:rPr>
            </w:pPr>
          </w:p>
        </w:tc>
        <w:tc>
          <w:tcPr>
            <w:tcW w:w="880" w:type="pct"/>
            <w:vMerge w:val="continue"/>
            <w:vAlign w:val="center"/>
          </w:tcPr>
          <w:p>
            <w:pPr>
              <w:spacing w:line="400" w:lineRule="exact"/>
              <w:jc w:val="center"/>
              <w:rPr>
                <w:rFonts w:hint="eastAsia" w:ascii="宋体" w:hAnsi="宋体" w:eastAsia="宋体" w:cs="宋体"/>
                <w:color w:val="auto"/>
                <w:sz w:val="24"/>
                <w:szCs w:val="24"/>
              </w:rPr>
            </w:pPr>
          </w:p>
        </w:tc>
        <w:tc>
          <w:tcPr>
            <w:tcW w:w="757" w:type="pct"/>
            <w:vMerge w:val="continue"/>
            <w:vAlign w:val="center"/>
          </w:tcPr>
          <w:p>
            <w:pPr>
              <w:spacing w:line="400" w:lineRule="exact"/>
              <w:jc w:val="center"/>
              <w:rPr>
                <w:rFonts w:hint="eastAsia" w:ascii="宋体" w:hAnsi="宋体" w:eastAsia="宋体" w:cs="宋体"/>
                <w:color w:val="auto"/>
                <w:sz w:val="24"/>
                <w:szCs w:val="24"/>
              </w:rPr>
            </w:pPr>
          </w:p>
        </w:tc>
      </w:tr>
      <w:tr>
        <w:trPr>
          <w:trHeight w:val="150" w:hRule="atLeast"/>
          <w:jc w:val="center"/>
        </w:trPr>
        <w:tc>
          <w:tcPr>
            <w:tcW w:w="909" w:type="pct"/>
            <w:vAlign w:val="center"/>
          </w:tcPr>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样品组</w:t>
            </w:r>
          </w:p>
        </w:tc>
        <w:tc>
          <w:tcPr>
            <w:tcW w:w="1776"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不同样品浸提液或溶液</w:t>
            </w:r>
          </w:p>
        </w:tc>
        <w:tc>
          <w:tcPr>
            <w:tcW w:w="676" w:type="pct"/>
            <w:vMerge w:val="continue"/>
            <w:vAlign w:val="center"/>
          </w:tcPr>
          <w:p>
            <w:pPr>
              <w:spacing w:line="400" w:lineRule="exact"/>
              <w:jc w:val="center"/>
              <w:rPr>
                <w:rFonts w:hint="eastAsia" w:ascii="宋体" w:hAnsi="宋体" w:eastAsia="宋体" w:cs="宋体"/>
                <w:color w:val="auto"/>
                <w:sz w:val="24"/>
                <w:szCs w:val="24"/>
              </w:rPr>
            </w:pPr>
          </w:p>
        </w:tc>
        <w:tc>
          <w:tcPr>
            <w:tcW w:w="880" w:type="pct"/>
            <w:vMerge w:val="continue"/>
            <w:vAlign w:val="center"/>
          </w:tcPr>
          <w:p>
            <w:pPr>
              <w:spacing w:line="400" w:lineRule="exact"/>
              <w:jc w:val="center"/>
              <w:rPr>
                <w:rFonts w:hint="eastAsia" w:ascii="宋体" w:hAnsi="宋体" w:eastAsia="宋体" w:cs="宋体"/>
                <w:color w:val="auto"/>
                <w:sz w:val="24"/>
                <w:szCs w:val="24"/>
              </w:rPr>
            </w:pPr>
          </w:p>
        </w:tc>
        <w:tc>
          <w:tcPr>
            <w:tcW w:w="757" w:type="pct"/>
            <w:vMerge w:val="continue"/>
            <w:vAlign w:val="center"/>
          </w:tcPr>
          <w:p>
            <w:pPr>
              <w:spacing w:line="400" w:lineRule="exact"/>
              <w:jc w:val="center"/>
              <w:rPr>
                <w:rFonts w:hint="eastAsia" w:ascii="宋体" w:hAnsi="宋体" w:eastAsia="宋体" w:cs="宋体"/>
                <w:color w:val="auto"/>
                <w:sz w:val="24"/>
                <w:szCs w:val="24"/>
              </w:rPr>
            </w:pPr>
          </w:p>
        </w:tc>
      </w:tr>
    </w:tbl>
    <w:p>
      <w:pPr>
        <w:pStyle w:val="3"/>
        <w:rPr>
          <w:rFonts w:hint="eastAsia" w:ascii="宋体" w:hAnsi="宋体" w:eastAsia="宋体" w:cs="宋体"/>
          <w:b w:val="0"/>
          <w:bCs w:val="0"/>
          <w:color w:val="auto"/>
          <w:sz w:val="24"/>
          <w:szCs w:val="24"/>
        </w:rPr>
      </w:pPr>
      <w:bookmarkStart w:id="50" w:name="_Toc100174037"/>
      <w:r>
        <w:rPr>
          <w:rFonts w:hint="eastAsia" w:ascii="宋体" w:hAnsi="宋体" w:eastAsia="宋体" w:cs="宋体"/>
          <w:b w:val="0"/>
          <w:bCs w:val="0"/>
          <w:color w:val="auto"/>
          <w:sz w:val="24"/>
          <w:szCs w:val="24"/>
        </w:rPr>
        <w:t>细胞毒性实验结果</w:t>
      </w:r>
      <w:bookmarkEnd w:id="50"/>
    </w:p>
    <w:p>
      <w:pPr>
        <w:pStyle w:val="18"/>
        <w:numPr>
          <w:ilvl w:val="0"/>
          <w:numId w:val="0"/>
        </w:numPr>
        <w:spacing w:before="163" w:beforeLines="5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胶原蛋白类生物材料</w:t>
      </w:r>
    </w:p>
    <w:p>
      <w:pPr>
        <w:pStyle w:val="18"/>
        <w:numPr>
          <w:ilvl w:val="0"/>
          <w:numId w:val="0"/>
        </w:numPr>
        <w:spacing w:before="163" w:beforeLines="50" w:line="40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三种胶原蛋白</w:t>
      </w:r>
      <w:r>
        <w:rPr>
          <w:rFonts w:hint="eastAsia" w:ascii="宋体" w:hAnsi="宋体" w:eastAsia="宋体" w:cs="宋体"/>
          <w:bCs/>
          <w:color w:val="auto"/>
          <w:sz w:val="24"/>
          <w:szCs w:val="24"/>
        </w:rPr>
        <w:t>（牛胶原蛋白</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:鱼胶原蛋白</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重组人胶原蛋白</w:t>
      </w:r>
      <w:r>
        <w:rPr>
          <w:rFonts w:hint="eastAsia" w:ascii="宋体" w:hAnsi="宋体" w:eastAsia="宋体" w:cs="宋体"/>
          <w:bCs/>
          <w:color w:val="auto"/>
          <w:sz w:val="24"/>
          <w:szCs w:val="24"/>
          <w:lang w:eastAsia="zh-CN"/>
        </w:rPr>
        <w:t>）</w:t>
      </w:r>
      <w:r>
        <w:rPr>
          <w:rFonts w:hint="eastAsia" w:ascii="宋体" w:hAnsi="宋体" w:eastAsia="宋体" w:cs="宋体"/>
          <w:color w:val="auto"/>
          <w:sz w:val="24"/>
          <w:szCs w:val="24"/>
        </w:rPr>
        <w:t>、空白、阳性、阴性对照与人成纤维细胞共同孵育24小时后的细胞存活率结果显示：设置空白对照组细胞存活率为100%，依据公式2-1计算得出：阴性组存活率是(105.52±3.57)%，阳性组存活率是(34.88±0.30)%。牛胶原蛋白组浓度在0.782-250 mg/mL范围内时其细胞存活率大于70%，不具备潜在细胞毒性，500 mg/mL牛胶原蛋白组细胞存活率为(33.43±0.05)%，存在潜在细胞毒性；鱼胶原蛋白组浓度在25-100 mg/mL范围内，各组细胞存活率不低于70%，根据GB/T 16886.5-2017，表明在该浓度范围内鱼胶原蛋白不存在潜在细胞毒性，但当浓度大于200 mg/mL时，细胞存活率低于70%，浓度过高具有细胞毒性，不利于细胞正常生长；重组人胶原蛋白组0.625-100 mg/mL范围内，各组存活率均不低于70%，无潜在毒性，但当浓度为200 mg/mL时，细胞存活率为(48.09±4.65)%，低于70%，不利于人成纤维细胞的正常生长。</w:t>
      </w:r>
    </w:p>
    <w:p>
      <w:pPr>
        <w:pStyle w:val="18"/>
        <w:numPr>
          <w:ilvl w:val="0"/>
          <w:numId w:val="0"/>
        </w:numPr>
        <w:spacing w:before="163" w:beforeLines="5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多糖及其衍生物类生物材料</w:t>
      </w:r>
    </w:p>
    <w:p>
      <w:pPr>
        <w:spacing w:after="163" w:afterLines="50"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海藻酸钠、壳聚糖、β-葡聚糖、葡甘聚糖、壳聚糖季铵盐、羟丙甲基纤维素作用于人成纤维细胞24小时后，海藻酸钠浓度过高时不利于细胞正常生长，25 mg/ mL海藻酸钠细胞存活率为(22.57±1.37)%，</w:t>
      </w: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其浓度在12.5 mg/mL以下时细胞存活率均大于90%，不具细胞毒性；β-葡聚糖在1.25-50 mg/mL范围内细胞存活率均大于90%，不具备潜在的细胞毒性，但其浓度较高时则不利于成纤维细胞的正常生长如：100 mg/mL时存活率为：(13.65±1.41)%；200mg/mL时其存活率为：(2.89±0.08)%；0.78125-100 mg/mL时壳聚糖组的细胞存活率均大于90%，不具备潜在细胞毒性，200 mg/mL时壳聚糖组存活率仅为(12.47±0.26)%；其衍生物壳聚糖季铵盐在0.078125-20 mg/mL范围内细胞存活率远低于70%，显示较强的细胞毒性，不利于成纤维细胞的正常生长；葡甘聚糖浓度为0.078125-10 mg/mL时细胞存活率也低于70%，不利于成纤维细胞的正常生长；羟丙甲基纤维素浓度为0.15625-40 mg/mL时，细胞存活率低于70%，不利于成纤维细胞正常生长。</w:t>
      </w:r>
    </w:p>
    <w:p>
      <w:pPr>
        <w:pStyle w:val="18"/>
        <w:numPr>
          <w:ilvl w:val="0"/>
          <w:numId w:val="0"/>
        </w:numPr>
        <w:spacing w:before="163" w:beforeLines="5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其他皮肤修复类生物材料</w:t>
      </w:r>
    </w:p>
    <w:p>
      <w:pPr>
        <w:spacing w:before="163" w:beforeLines="5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结果</w:t>
      </w:r>
      <w:r>
        <w:rPr>
          <w:rFonts w:hint="eastAsia" w:ascii="宋体" w:hAnsi="宋体" w:eastAsia="宋体" w:cs="宋体"/>
          <w:color w:val="auto"/>
          <w:sz w:val="24"/>
          <w:szCs w:val="24"/>
        </w:rPr>
        <w:t>所示：浓度为 0.78125-50 mg/mL的硅酸镁锂、0.78125-6.25 mg/mL的泊洛沙姆407及0.25-4 mg/mL的聚赖氨酸在低浓度时细胞存活率均大于70%，不具细胞毒性，但浓度较高时三种生物材料的细胞存活率低，不利于人成纤维细胞可以正常生长，100 mg/mL硅酸镁锂存活率为：（57.27±0.69）%；12.5 mg/mL 泊洛沙姆407存活率为（51.06±1.29）%，且浓度升高存活率不断降低；5 mg/mL聚赖氨酸存活率为（37.97±0.65）%。细胞毒性结果显示：葡甘聚糖、壳聚糖季铵盐、羟丙甲基纤维素不利于人成纤维细胞的正常生长，具有潜在的细胞毒性；其余九种生物材料在一定范围内对人成纤维细胞的正常生长无影响，在这九种材料的安全范围内可进行后续的细胞增殖和细胞迁移实验研究。</w:t>
      </w:r>
    </w:p>
    <w:p>
      <w:pPr>
        <w:pStyle w:val="4"/>
        <w:numPr>
          <w:ilvl w:val="0"/>
          <w:numId w:val="0"/>
        </w:numPr>
        <w:spacing w:before="163" w:beforeLines="50" w:after="0"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2细胞增殖</w:t>
      </w:r>
      <w:r>
        <w:rPr>
          <w:rFonts w:hint="eastAsia" w:ascii="宋体" w:hAnsi="宋体" w:eastAsia="宋体" w:cs="宋体"/>
          <w:color w:val="auto"/>
          <w:sz w:val="24"/>
          <w:szCs w:val="24"/>
          <w:lang w:val="en-US" w:eastAsia="zh-CN"/>
        </w:rPr>
        <w:t>试验</w:t>
      </w:r>
    </w:p>
    <w:p>
      <w:pPr>
        <w:pStyle w:val="18"/>
        <w:numPr>
          <w:ilvl w:val="0"/>
          <w:numId w:val="0"/>
        </w:numPr>
        <w:spacing w:before="163" w:beforeLines="50" w:line="400" w:lineRule="exact"/>
        <w:ind w:firstLine="240" w:firstLineChars="1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样品制备</w:t>
      </w:r>
    </w:p>
    <w:p>
      <w:pPr>
        <w:spacing w:line="40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根据细胞毒性实验结果，选择不具细胞毒性的生物材料进行细胞增殖和细胞迁移实验，在安全浓度范围内设置不同浓度梯度样品组。 </w:t>
      </w:r>
    </w:p>
    <w:p>
      <w:pPr>
        <w:pStyle w:val="18"/>
        <w:numPr>
          <w:ilvl w:val="0"/>
          <w:numId w:val="0"/>
        </w:numPr>
        <w:spacing w:before="163" w:beforeLines="50" w:line="400" w:lineRule="exact"/>
        <w:ind w:firstLine="240" w:firstLineChars="1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实验步骤</w:t>
      </w:r>
    </w:p>
    <w:p>
      <w:pPr>
        <w:spacing w:line="40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将在对数生长期内的细胞按照1×10</w:t>
      </w:r>
      <w:r>
        <w:rPr>
          <w:rFonts w:hint="eastAsia" w:ascii="宋体" w:hAnsi="宋体" w:eastAsia="宋体" w:cs="宋体"/>
          <w:color w:val="auto"/>
          <w:sz w:val="24"/>
          <w:szCs w:val="24"/>
          <w:vertAlign w:val="superscript"/>
        </w:rPr>
        <w:t>5</w:t>
      </w:r>
      <w:r>
        <w:rPr>
          <w:rFonts w:hint="eastAsia" w:ascii="宋体" w:hAnsi="宋体" w:eastAsia="宋体" w:cs="宋体"/>
          <w:color w:val="auto"/>
          <w:sz w:val="24"/>
          <w:szCs w:val="24"/>
        </w:rPr>
        <w:t>个/mL细胞密度，每孔100 μL加入到96孔板内，在细胞培养箱中培养24小时后弃去废液，按照实验设置每孔加入100 μL不同样品、不同浓度的细胞培养基，观察24小时、48小时、72小时的细胞增殖情况，酶标仪下检测450 nm的吸光度，按照公式</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计算细胞增殖率，评估不同生物材料对成纤维细胞的增殖作用，并筛选出最佳增殖浓度，以无血清DMEM培养基为对照。</w:t>
      </w:r>
    </w:p>
    <w:p>
      <w:pPr>
        <w:pStyle w:val="6"/>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1485900</wp:posOffset>
                </wp:positionH>
                <wp:positionV relativeFrom="paragraph">
                  <wp:posOffset>83185</wp:posOffset>
                </wp:positionV>
                <wp:extent cx="635" cy="0"/>
                <wp:effectExtent l="0" t="6350" r="0" b="635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6.55pt;height:0pt;width:0.05pt;z-index:251664384;mso-width-relative:page;mso-height-relative:page;" filled="f" stroked="t" coordsize="21600,21600" o:gfxdata="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Z3W69MAAAAJAQAADwAAAAAAAAABACAAAAA4AAAAZHJzL2Rvd25yZXYueG1sUEsBAhQA&#10;FAAAAAgAh07iQEty3w/hAQAApgMAAA4AAAAAAAAAAQAgAAAAOAEAAGRycy9lMm9Eb2MueG1sUEsF&#10;BgAAAAAGAAYAWQEAAIsFAAAAAA==&#10;">
                <v:fill on="f" focussize="0,0"/>
                <v:stroke color="#000000" joinstyle="round"/>
                <v:imagedata o:title=""/>
                <o:lock v:ext="edit" aspectratio="f"/>
              </v:line>
            </w:pict>
          </mc:Fallback>
        </mc:AlternateContent>
      </w:r>
      <w:r>
        <w:rPr>
          <w:rFonts w:hint="eastAsia" w:ascii="宋体" w:hAnsi="宋体" w:eastAsia="宋体" w:cs="宋体"/>
          <w:sz w:val="24"/>
          <w:szCs w:val="24"/>
          <w:lang w:val="en-US" w:eastAsia="zh-CN"/>
        </w:rPr>
        <w:t>细胞增殖率(%)=</w:t>
      </w:r>
      <w:r>
        <w:rPr>
          <w:rFonts w:hint="eastAsia" w:ascii="宋体" w:hAnsi="宋体" w:eastAsia="宋体" w:cs="宋体"/>
          <w:sz w:val="24"/>
          <w:szCs w:val="24"/>
        </w:rPr>
        <w:t xml:space="preserve"> </w:t>
      </w:r>
      <m:oMath>
        <m:r>
          <m:rPr>
            <m:sty m:val="p"/>
          </m:rPr>
          <w:rPr>
            <w:rFonts w:hint="default" w:ascii="DejaVu Math TeX Gyre" w:hAnsi="DejaVu Math TeX Gyre" w:eastAsia="宋体" w:cs="宋体"/>
            <w:sz w:val="24"/>
            <w:szCs w:val="24"/>
            <w:lang w:val="en-US" w:eastAsia="zh-CN"/>
          </w:rPr>
          <m:t>(</m:t>
        </m:r>
        <m:r>
          <m:rPr>
            <m:sty m:val="p"/>
          </m:rPr>
          <w:rPr>
            <w:rFonts w:hint="eastAsia" w:ascii="DejaVu Math TeX Gyre" w:hAnsi="DejaVu Math TeX Gyre" w:eastAsia="宋体" w:cs="宋体"/>
            <w:sz w:val="24"/>
            <w:szCs w:val="24"/>
            <w:lang w:val="en-US" w:eastAsia="zh-CN"/>
          </w:rPr>
          <m:t>试验组A</m:t>
        </m:r>
        <m:r>
          <m:rPr>
            <m:sty m:val="p"/>
          </m:rPr>
          <w:rPr>
            <w:rFonts w:hint="default" w:ascii="DejaVu Math TeX Gyre" w:hAnsi="DejaVu Math TeX Gyre" w:eastAsia="宋体" w:cs="宋体"/>
            <w:sz w:val="24"/>
            <w:szCs w:val="24"/>
            <w:lang w:val="en-US" w:eastAsia="zh-CN"/>
          </w:rPr>
          <m:t>/</m:t>
        </m:r>
        <m:r>
          <m:rPr>
            <m:sty m:val="p"/>
          </m:rPr>
          <w:rPr>
            <w:rFonts w:hint="eastAsia" w:ascii="DejaVu Math TeX Gyre" w:hAnsi="DejaVu Math TeX Gyre" w:eastAsia="宋体" w:cs="宋体"/>
            <w:sz w:val="24"/>
            <w:szCs w:val="24"/>
          </w:rPr>
          <m:t xml:space="preserve"> </m:t>
        </m:r>
        <m:r>
          <m:rPr>
            <m:sty m:val="p"/>
          </m:rPr>
          <w:rPr>
            <w:rFonts w:hint="eastAsia" w:ascii="DejaVu Math TeX Gyre" w:hAnsi="DejaVu Math TeX Gyre" w:eastAsia="宋体" w:cs="宋体"/>
            <w:sz w:val="24"/>
            <w:szCs w:val="24"/>
            <w:lang w:val="en-US" w:eastAsia="zh-CN"/>
          </w:rPr>
          <m:t>空白对照B</m:t>
        </m:r>
        <m:r>
          <m:rPr>
            <m:sty m:val="p"/>
          </m:rPr>
          <w:rPr>
            <w:rFonts w:hint="default" w:ascii="DejaVu Math TeX Gyre" w:hAnsi="DejaVu Math TeX Gyre" w:eastAsia="宋体" w:cs="宋体"/>
            <w:sz w:val="24"/>
            <w:szCs w:val="24"/>
            <w:lang w:val="en-US" w:eastAsia="zh-CN"/>
          </w:rPr>
          <m:t>)</m:t>
        </m:r>
        <m:r>
          <m:rPr>
            <m:sty m:val="p"/>
          </m:rPr>
          <w:rPr>
            <w:rFonts w:hint="eastAsia" w:ascii="DejaVu Math TeX Gyre" w:hAnsi="DejaVu Math TeX Gyre" w:eastAsia="宋体" w:cs="宋体"/>
            <w:sz w:val="24"/>
            <w:szCs w:val="24"/>
          </w:rPr>
          <m:t>×100%</m:t>
        </m:r>
      </m:oMath>
      <w:r>
        <w:rPr>
          <w:rFonts w:hint="eastAsia" w:ascii="宋体" w:hAnsi="宋体" w:eastAsia="宋体" w:cs="宋体"/>
          <w:sz w:val="24"/>
          <w:szCs w:val="24"/>
          <w:lang w:eastAsia="zh-CN"/>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Cs/>
          <w:sz w:val="24"/>
          <w:szCs w:val="24"/>
          <w:lang w:val="en-US" w:eastAsia="zh-CN"/>
        </w:rPr>
        <w:t>式</w:t>
      </w:r>
      <w:r>
        <w:rPr>
          <w:rFonts w:hint="eastAsia" w:hAnsi="宋体" w:eastAsia="宋体" w:cs="宋体"/>
          <w:bCs/>
          <w:sz w:val="24"/>
          <w:szCs w:val="24"/>
          <w:lang w:val="en-US" w:eastAsia="zh-CN"/>
        </w:rPr>
        <w:t>1</w:t>
      </w:r>
      <w:r>
        <w:rPr>
          <w:rFonts w:hint="eastAsia" w:ascii="宋体" w:hAnsi="宋体" w:eastAsia="宋体" w:cs="宋体"/>
          <w:bCs/>
          <w:sz w:val="24"/>
          <w:szCs w:val="24"/>
          <w:lang w:val="en-US" w:eastAsia="zh-CN"/>
        </w:rPr>
        <w:t>-</w:t>
      </w:r>
      <w:r>
        <w:rPr>
          <w:rFonts w:hint="eastAsia" w:hAnsi="宋体" w:eastAsia="宋体" w:cs="宋体"/>
          <w:bCs/>
          <w:sz w:val="24"/>
          <w:szCs w:val="24"/>
          <w:lang w:val="en-US" w:eastAsia="zh-CN"/>
        </w:rPr>
        <w:t>2</w:t>
      </w:r>
    </w:p>
    <w:p>
      <w:pPr>
        <w:spacing w:line="400" w:lineRule="exact"/>
        <w:ind w:firstLine="482"/>
        <w:jc w:val="both"/>
        <w:rPr>
          <w:rFonts w:hint="eastAsia" w:ascii="宋体" w:hAnsi="宋体" w:eastAsia="宋体" w:cs="宋体"/>
          <w:sz w:val="24"/>
          <w:szCs w:val="24"/>
        </w:rPr>
      </w:pPr>
      <w:r>
        <w:rPr>
          <w:rFonts w:hint="eastAsia" w:ascii="宋体" w:hAnsi="宋体" w:eastAsia="宋体" w:cs="宋体"/>
          <w:sz w:val="24"/>
          <w:szCs w:val="24"/>
        </w:rPr>
        <w:t>A ──不同</w:t>
      </w:r>
      <w:r>
        <w:rPr>
          <w:rFonts w:hint="eastAsia" w:ascii="宋体" w:hAnsi="宋体" w:eastAsia="宋体" w:cs="宋体"/>
          <w:sz w:val="24"/>
          <w:szCs w:val="24"/>
          <w:lang w:val="en-US" w:eastAsia="zh-CN"/>
        </w:rPr>
        <w:t>浓度样品</w:t>
      </w:r>
      <w:r>
        <w:rPr>
          <w:rFonts w:hint="eastAsia" w:ascii="宋体" w:hAnsi="宋体" w:eastAsia="宋体" w:cs="宋体"/>
          <w:sz w:val="24"/>
          <w:szCs w:val="24"/>
        </w:rPr>
        <w:t>组(阳性对照组)平均吸光度</w:t>
      </w:r>
    </w:p>
    <w:p>
      <w:pPr>
        <w:spacing w:line="400" w:lineRule="exact"/>
        <w:ind w:firstLine="482"/>
        <w:jc w:val="both"/>
        <w:rPr>
          <w:rFonts w:hint="eastAsia" w:ascii="宋体" w:hAnsi="宋体" w:eastAsia="宋体" w:cs="宋体"/>
          <w:sz w:val="24"/>
          <w:szCs w:val="24"/>
        </w:rPr>
      </w:pPr>
      <w:r>
        <w:rPr>
          <w:rFonts w:hint="eastAsia" w:ascii="宋体" w:hAnsi="宋体" w:eastAsia="宋体" w:cs="宋体"/>
          <w:sz w:val="24"/>
          <w:szCs w:val="24"/>
        </w:rPr>
        <w:t>B ──空白对照组平均吸光度</w:t>
      </w:r>
    </w:p>
    <w:p>
      <w:pPr>
        <w:spacing w:before="163" w:beforeLines="50" w:line="4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表2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 细胞增殖</w:t>
      </w:r>
      <w:r>
        <w:rPr>
          <w:rFonts w:hint="eastAsia" w:ascii="宋体" w:hAnsi="宋体" w:eastAsia="宋体" w:cs="宋体"/>
          <w:bCs/>
          <w:color w:val="auto"/>
          <w:sz w:val="24"/>
          <w:szCs w:val="24"/>
          <w:lang w:val="en-US" w:eastAsia="zh-CN"/>
        </w:rPr>
        <w:t>试验</w:t>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9"/>
        <w:gridCol w:w="3323"/>
        <w:gridCol w:w="1107"/>
        <w:gridCol w:w="2127"/>
        <w:gridCol w:w="1487"/>
      </w:tblGrid>
      <w:tr>
        <w:trPr>
          <w:trHeight w:val="333" w:hRule="atLeast"/>
          <w:jc w:val="center"/>
        </w:trPr>
        <w:tc>
          <w:tcPr>
            <w:tcW w:w="963"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实验分组</w:t>
            </w:r>
          </w:p>
        </w:tc>
        <w:tc>
          <w:tcPr>
            <w:tcW w:w="1667"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培养条件</w:t>
            </w:r>
          </w:p>
        </w:tc>
        <w:tc>
          <w:tcPr>
            <w:tcW w:w="555"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检测模型</w:t>
            </w:r>
          </w:p>
        </w:tc>
        <w:tc>
          <w:tcPr>
            <w:tcW w:w="1067"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处理方式</w:t>
            </w:r>
          </w:p>
        </w:tc>
        <w:tc>
          <w:tcPr>
            <w:tcW w:w="746" w:type="pct"/>
            <w:tcBorders>
              <w:top w:val="single" w:color="auto" w:sz="8" w:space="0"/>
              <w:bottom w:val="single" w:color="auto" w:sz="6" w:space="0"/>
            </w:tcBorders>
            <w:vAlign w:val="center"/>
          </w:tcPr>
          <w:p>
            <w:pPr>
              <w:spacing w:line="400" w:lineRule="exact"/>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检测方式</w:t>
            </w:r>
          </w:p>
        </w:tc>
      </w:tr>
      <w:tr>
        <w:trPr>
          <w:trHeight w:val="194" w:hRule="atLeast"/>
          <w:jc w:val="center"/>
        </w:trPr>
        <w:tc>
          <w:tcPr>
            <w:tcW w:w="963" w:type="pct"/>
            <w:tcBorders>
              <w:top w:val="single" w:color="auto" w:sz="6"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阳性对照组</w:t>
            </w:r>
          </w:p>
        </w:tc>
        <w:tc>
          <w:tcPr>
            <w:tcW w:w="1667" w:type="pct"/>
            <w:tcBorders>
              <w:top w:val="single" w:color="auto" w:sz="6"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10%血清培养基</w:t>
            </w:r>
          </w:p>
        </w:tc>
        <w:tc>
          <w:tcPr>
            <w:tcW w:w="555" w:type="pct"/>
            <w:vMerge w:val="restart"/>
            <w:tcBorders>
              <w:top w:val="single" w:color="auto" w:sz="6"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成纤维细胞(Fibroblasts)</w:t>
            </w:r>
          </w:p>
        </w:tc>
        <w:tc>
          <w:tcPr>
            <w:tcW w:w="1067" w:type="pct"/>
            <w:vMerge w:val="restart"/>
            <w:tcBorders>
              <w:top w:val="single" w:color="auto" w:sz="6"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24h、48h、72h</w:t>
            </w:r>
          </w:p>
        </w:tc>
        <w:tc>
          <w:tcPr>
            <w:tcW w:w="746" w:type="pct"/>
            <w:vMerge w:val="restart"/>
            <w:tcBorders>
              <w:top w:val="single" w:color="auto" w:sz="6"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CCK-8法</w:t>
            </w:r>
          </w:p>
        </w:tc>
      </w:tr>
      <w:tr>
        <w:trPr>
          <w:jc w:val="center"/>
        </w:trPr>
        <w:tc>
          <w:tcPr>
            <w:tcW w:w="963"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空白对照组</w:t>
            </w:r>
          </w:p>
        </w:tc>
        <w:tc>
          <w:tcPr>
            <w:tcW w:w="1667" w:type="pct"/>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无血清培养基</w:t>
            </w:r>
          </w:p>
        </w:tc>
        <w:tc>
          <w:tcPr>
            <w:tcW w:w="555" w:type="pct"/>
            <w:vMerge w:val="continue"/>
            <w:vAlign w:val="center"/>
          </w:tcPr>
          <w:p>
            <w:pPr>
              <w:spacing w:line="400" w:lineRule="exact"/>
              <w:jc w:val="center"/>
              <w:rPr>
                <w:rFonts w:hint="eastAsia" w:ascii="宋体" w:hAnsi="宋体" w:eastAsia="宋体" w:cs="宋体"/>
                <w:color w:val="auto"/>
                <w:sz w:val="24"/>
                <w:szCs w:val="24"/>
              </w:rPr>
            </w:pPr>
          </w:p>
        </w:tc>
        <w:tc>
          <w:tcPr>
            <w:tcW w:w="1067" w:type="pct"/>
            <w:vMerge w:val="continue"/>
            <w:vAlign w:val="center"/>
          </w:tcPr>
          <w:p>
            <w:pPr>
              <w:spacing w:line="400" w:lineRule="exact"/>
              <w:jc w:val="center"/>
              <w:rPr>
                <w:rFonts w:hint="eastAsia" w:ascii="宋体" w:hAnsi="宋体" w:eastAsia="宋体" w:cs="宋体"/>
                <w:color w:val="auto"/>
                <w:sz w:val="24"/>
                <w:szCs w:val="24"/>
              </w:rPr>
            </w:pPr>
          </w:p>
        </w:tc>
        <w:tc>
          <w:tcPr>
            <w:tcW w:w="746" w:type="pct"/>
            <w:vMerge w:val="continue"/>
            <w:vAlign w:val="center"/>
          </w:tcPr>
          <w:p>
            <w:pPr>
              <w:spacing w:line="400" w:lineRule="exact"/>
              <w:jc w:val="center"/>
              <w:rPr>
                <w:rFonts w:hint="eastAsia" w:ascii="宋体" w:hAnsi="宋体" w:eastAsia="宋体" w:cs="宋体"/>
                <w:color w:val="auto"/>
                <w:sz w:val="24"/>
                <w:szCs w:val="24"/>
              </w:rPr>
            </w:pPr>
          </w:p>
        </w:tc>
      </w:tr>
      <w:tr>
        <w:trPr>
          <w:trHeight w:val="162" w:hRule="atLeast"/>
          <w:jc w:val="center"/>
        </w:trPr>
        <w:tc>
          <w:tcPr>
            <w:tcW w:w="963" w:type="pct"/>
            <w:tcBorders>
              <w:bottom w:val="single" w:color="auto" w:sz="8"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实验组</w:t>
            </w:r>
          </w:p>
        </w:tc>
        <w:tc>
          <w:tcPr>
            <w:tcW w:w="1667" w:type="pct"/>
            <w:tcBorders>
              <w:bottom w:val="single" w:color="auto" w:sz="8"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样品无血清培养基溶液/浸提液</w:t>
            </w:r>
          </w:p>
        </w:tc>
        <w:tc>
          <w:tcPr>
            <w:tcW w:w="555" w:type="pct"/>
            <w:vMerge w:val="continue"/>
            <w:tcBorders>
              <w:bottom w:val="single" w:color="auto" w:sz="8" w:space="0"/>
            </w:tcBorders>
            <w:vAlign w:val="center"/>
          </w:tcPr>
          <w:p>
            <w:pPr>
              <w:spacing w:line="400" w:lineRule="exact"/>
              <w:jc w:val="center"/>
              <w:rPr>
                <w:rFonts w:hint="eastAsia" w:ascii="宋体" w:hAnsi="宋体" w:eastAsia="宋体" w:cs="宋体"/>
                <w:color w:val="auto"/>
                <w:sz w:val="24"/>
                <w:szCs w:val="24"/>
              </w:rPr>
            </w:pPr>
          </w:p>
        </w:tc>
        <w:tc>
          <w:tcPr>
            <w:tcW w:w="1067" w:type="pct"/>
            <w:vMerge w:val="continue"/>
            <w:tcBorders>
              <w:bottom w:val="single" w:color="auto" w:sz="8" w:space="0"/>
            </w:tcBorders>
            <w:vAlign w:val="center"/>
          </w:tcPr>
          <w:p>
            <w:pPr>
              <w:spacing w:line="400" w:lineRule="exact"/>
              <w:jc w:val="center"/>
              <w:rPr>
                <w:rFonts w:hint="eastAsia" w:ascii="宋体" w:hAnsi="宋体" w:eastAsia="宋体" w:cs="宋体"/>
                <w:color w:val="auto"/>
                <w:sz w:val="24"/>
                <w:szCs w:val="24"/>
              </w:rPr>
            </w:pPr>
          </w:p>
        </w:tc>
        <w:tc>
          <w:tcPr>
            <w:tcW w:w="746" w:type="pct"/>
            <w:vMerge w:val="continue"/>
            <w:tcBorders>
              <w:bottom w:val="single" w:color="auto" w:sz="8" w:space="0"/>
            </w:tcBorders>
            <w:vAlign w:val="center"/>
          </w:tcPr>
          <w:p>
            <w:pPr>
              <w:spacing w:line="400" w:lineRule="exact"/>
              <w:jc w:val="center"/>
              <w:rPr>
                <w:rFonts w:hint="eastAsia" w:ascii="宋体" w:hAnsi="宋体" w:eastAsia="宋体" w:cs="宋体"/>
                <w:color w:val="auto"/>
                <w:sz w:val="24"/>
                <w:szCs w:val="24"/>
              </w:rPr>
            </w:pPr>
          </w:p>
        </w:tc>
      </w:tr>
    </w:tbl>
    <w:p>
      <w:pPr>
        <w:pStyle w:val="4"/>
        <w:numPr>
          <w:ilvl w:val="0"/>
          <w:numId w:val="0"/>
        </w:numPr>
        <w:spacing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细胞增殖结果</w:t>
      </w:r>
    </w:p>
    <w:p>
      <w:pPr>
        <w:pStyle w:val="18"/>
        <w:numPr>
          <w:ilvl w:val="0"/>
          <w:numId w:val="0"/>
        </w:numPr>
        <w:spacing w:before="163" w:beforeLines="5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胶原蛋白类生物材料</w:t>
      </w:r>
    </w:p>
    <w:p>
      <w:pPr>
        <w:pStyle w:val="18"/>
        <w:numPr>
          <w:ilvl w:val="0"/>
          <w:numId w:val="0"/>
        </w:numPr>
        <w:spacing w:before="163" w:beforeLines="50" w:line="400" w:lineRule="exact"/>
        <w:ind w:firstLine="240" w:firstLineChars="100"/>
        <w:rPr>
          <w:rFonts w:hint="eastAsia" w:ascii="宋体" w:hAnsi="宋体" w:eastAsia="宋体" w:cs="宋体"/>
          <w:b/>
          <w:bCs/>
          <w:color w:val="auto"/>
          <w:sz w:val="24"/>
          <w:szCs w:val="24"/>
        </w:rPr>
      </w:pPr>
      <w:r>
        <w:rPr>
          <w:rFonts w:hint="eastAsia" w:ascii="宋体" w:hAnsi="宋体" w:eastAsia="宋体" w:cs="宋体"/>
          <w:color w:val="auto"/>
          <w:sz w:val="24"/>
          <w:szCs w:val="24"/>
        </w:rPr>
        <w:t>结果所示：与阴性对照组相比，三种胶原蛋白均可刺激成纤维细胞的生长，对人成纤维细胞具有不同程度的促增殖作用。共培养后的成纤维细胞均保持正常细胞形态，在一定浓度范围内成纤维细胞的生长对胶原蛋白浓度呈剂量依赖性。鱼胶原蛋白和重组人胶原蛋白促增殖作用较好，牛胶原蛋白作用稍弱。将阴性对照组增殖率为100.00%，孵育24小时后阳性对照组的增殖率为(123.65±0.57)%；50 mg/mL牛胶原蛋白促进细胞增殖效果最好为：(124.86±0.56)%；50 mg/mL和100 mg/mL鱼胶原蛋白具有较为显著的促增殖作用(159.39±3.32)%、(151.57±8.50)%；重组人胶原蛋白浓度为40 mg/mL时促进细胞增殖的效果最好为：(143.50±7.61) %，20 mg/mL时促增殖效果也表现良好，增殖率为：(138.72±3.50)%</w:t>
      </w:r>
      <w:r>
        <w:rPr>
          <w:rFonts w:hint="eastAsia" w:ascii="宋体" w:hAnsi="宋体" w:eastAsia="宋体" w:cs="宋体"/>
          <w:color w:val="auto"/>
          <w:sz w:val="24"/>
          <w:szCs w:val="24"/>
          <w:lang w:eastAsia="zh-CN"/>
        </w:rPr>
        <w:t>。</w:t>
      </w:r>
    </w:p>
    <w:p>
      <w:pPr>
        <w:pStyle w:val="18"/>
        <w:numPr>
          <w:ilvl w:val="0"/>
          <w:numId w:val="0"/>
        </w:numPr>
        <w:spacing w:before="163" w:beforeLines="5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多糖类生物材料</w:t>
      </w:r>
    </w:p>
    <w:p>
      <w:pPr>
        <w:spacing w:after="163" w:afterLines="5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结果所示：与阴性对照组相比，海藻酸钠、β-葡聚糖及壳聚糖三种多糖类生物材料对人成纤维细胞的增殖具有不同影响。将阴性对照组增殖率设为100.00%，孵育24h后，计算阳性对照组的增殖率为(123.65±0.57)%；此时，10 mg/mL海藻酸钠的细胞增殖率为(129.39±8.77)%，但48h和72h时海藻酸钠时表现出抑制细胞增殖的趋势；β-葡聚糖和壳聚糖可刺激成纤维细胞的生长，二者促进细胞增殖的作用相当。24h时9 mg/mLβ-葡聚糖增殖率可达到(134.04±3.30)%，48h时其细胞增殖率为(159.36 ± 14.70)%；12.5 mg/mL壳聚糖增殖率为(128.40±3.61)%，48h时其增殖率为(152.75±1.76)%。</w:t>
      </w:r>
    </w:p>
    <w:p>
      <w:pPr>
        <w:pStyle w:val="18"/>
        <w:numPr>
          <w:ilvl w:val="0"/>
          <w:numId w:val="0"/>
        </w:numPr>
        <w:spacing w:before="163" w:beforeLines="5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其他皮肤修复类材料</w:t>
      </w:r>
    </w:p>
    <w:p>
      <w:pPr>
        <w:spacing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结果所示：与阴性对照组相比，硅酸镁锂、泊洛沙姆407两种常用的皮肤修复类生物材料对人成纤维细胞的增殖作用不明显，聚赖氨酸抑制人成纤维细胞的增殖。</w:t>
      </w:r>
    </w:p>
    <w:p>
      <w:pPr>
        <w:spacing w:line="400" w:lineRule="exact"/>
        <w:ind w:firstLine="480" w:firstLineChars="200"/>
        <w:jc w:val="both"/>
        <w:rPr>
          <w:rStyle w:val="15"/>
          <w:rFonts w:hint="eastAsia" w:ascii="宋体" w:hAnsi="宋体" w:eastAsia="宋体" w:cs="宋体"/>
          <w:b w:val="0"/>
          <w:bCs/>
          <w:color w:val="auto"/>
          <w:sz w:val="24"/>
          <w:szCs w:val="24"/>
          <w:lang w:val="en-US" w:eastAsia="zh-CN"/>
        </w:rPr>
      </w:pPr>
      <w:r>
        <w:rPr>
          <w:rFonts w:hint="eastAsia" w:ascii="宋体" w:hAnsi="宋体" w:eastAsia="宋体" w:cs="宋体"/>
          <w:color w:val="auto"/>
          <w:sz w:val="24"/>
          <w:szCs w:val="24"/>
        </w:rPr>
        <w:t>细胞增殖实验结果显示：聚赖氨酸抑制人成纤维细胞的增殖，泊洛沙姆、硅酸镁锂对人成纤维细胞无明显促增殖作用，其他六种生物材料具有不同程度的促增殖作用。50 mg/mL的牛胶原蛋白促进细胞增殖效果最好；50 mg/mL和100 mg/mL的鱼胶原蛋白促增殖作用较为显著；重组人胶原蛋白在40 mg/mL时效果最好，20 mg/mL时效果次之；孵育24小时后10 mg/mL海藻酸钠的细胞增殖率为(129.39±8.77)%，但48小时和72小时结果显示海藻酸钠表现出抑制细胞增殖的趋势；24-72小时内，不同浓度的β-葡聚糖和壳聚糖均表现出一定程度的促细胞增殖作用，随着材料浓度增高，促增殖作用增强。</w:t>
      </w:r>
    </w:p>
    <w:p>
      <w:pPr>
        <w:pStyle w:val="3"/>
        <w:rPr>
          <w:rStyle w:val="15"/>
          <w:rFonts w:hint="eastAsia" w:ascii="宋体" w:hAnsi="宋体" w:eastAsia="宋体" w:cs="宋体"/>
          <w:b w:val="0"/>
          <w:bCs/>
          <w:color w:val="auto"/>
          <w:sz w:val="24"/>
          <w:szCs w:val="24"/>
          <w:lang w:val="en-US" w:eastAsia="zh-CN"/>
        </w:rPr>
      </w:pPr>
      <w:r>
        <w:rPr>
          <w:rStyle w:val="15"/>
          <w:rFonts w:hint="eastAsia" w:ascii="宋体" w:hAnsi="宋体" w:eastAsia="宋体" w:cs="宋体"/>
          <w:b w:val="0"/>
          <w:bCs/>
          <w:color w:val="auto"/>
          <w:sz w:val="24"/>
          <w:szCs w:val="24"/>
          <w:lang w:val="en-US" w:eastAsia="zh-CN"/>
        </w:rPr>
        <w:t>3.1.3细胞迁移试验</w:t>
      </w:r>
    </w:p>
    <w:p>
      <w:pPr>
        <w:pStyle w:val="3"/>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将处于对数生长期的成纤维细胞铺于24孔板内，每孔加入1 mL，2个复孔，24小时后取一把灭菌后直尺放置于孔板孔上方，用1 mL枪垂直于孔板和直尺间划一道横线，在显微镜下(10X)观察，拍摄0h、12h、24h时细胞图片，应用Image J根据公式</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计算不同时间的细胞迁移率，评估不同生物材料作用后的细胞迁移程度，分析不同生物材料对成纤维细胞的迁移作用。</w:t>
      </w:r>
    </w:p>
    <w:p>
      <w:pPr>
        <w:spacing w:line="360" w:lineRule="auto"/>
        <w:ind w:firstLine="482"/>
        <w:rPr>
          <w:rFonts w:hint="eastAsia" w:ascii="宋体" w:hAnsi="宋体" w:eastAsia="宋体" w:cs="宋体"/>
          <w:color w:val="auto"/>
          <w:sz w:val="24"/>
          <w:szCs w:val="24"/>
          <w:lang w:eastAsia="zh-CN"/>
        </w:rPr>
      </w:pPr>
      <w:bookmarkStart w:id="51" w:name="_Hlk93520475"/>
      <w:r>
        <w:rPr>
          <w:rFonts w:hint="eastAsia" w:ascii="宋体" w:hAnsi="宋体" w:eastAsia="宋体" w:cs="宋体"/>
          <w:color w:val="auto"/>
          <w:sz w:val="24"/>
          <w:szCs w:val="24"/>
        </w:rPr>
        <w:t>迁移率</w:t>
      </w:r>
      <w:r>
        <w:rPr>
          <w:rFonts w:hint="eastAsia" w:ascii="宋体" w:hAnsi="宋体" w:eastAsia="宋体" w:cs="宋体"/>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83185</wp:posOffset>
                </wp:positionV>
                <wp:extent cx="635" cy="0"/>
                <wp:effectExtent l="0" t="6350" r="0" b="63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6.55pt;height:0pt;width:0.05pt;z-index:251660288;mso-width-relative:page;mso-height-relative:page;" filled="f" stroked="t" coordsize="21600,21600" o:gfxdata="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tndbr0wAAAAkBAAAPAAAAAAAAAAEAIAAAADgAAABkcnMvZG93bnJldi54bWxQSwECFAAU&#10;AAAACACHTuJAJkojeeABAACmAwAADgAAAAAAAAABACAAAAA4AQAAZHJzL2Uyb0RvYy54bWxQSwUG&#10;AAAAAAYABgBZAQAAigUAAAAA&#10;">
                <v:fill on="f" focussize="0,0"/>
                <v:stroke color="#000000" joinstyle="round"/>
                <v:imagedata o:title=""/>
                <o:lock v:ext="edit" aspectratio="f"/>
              </v:line>
            </w:pict>
          </mc:Fallback>
        </mc:AlternateContent>
      </w:r>
      <w:r>
        <w:rPr>
          <w:rFonts w:hint="eastAsia" w:ascii="宋体" w:hAnsi="宋体" w:eastAsia="宋体" w:cs="宋体"/>
          <w:color w:val="auto"/>
          <w:sz w:val="24"/>
          <w:szCs w:val="24"/>
        </w:rPr>
        <w:t xml:space="preserve">(%) = </w:t>
      </w:r>
      <m:oMath>
        <m:f>
          <m:fPr>
            <m:ctrlPr>
              <w:rPr>
                <w:rFonts w:hint="eastAsia" w:ascii="DejaVu Math TeX Gyre" w:hAnsi="DejaVu Math TeX Gyre" w:eastAsia="宋体" w:cs="宋体"/>
                <w:color w:val="auto"/>
                <w:sz w:val="24"/>
                <w:szCs w:val="24"/>
              </w:rPr>
            </m:ctrlPr>
          </m:fPr>
          <m:num>
            <m:r>
              <m:rPr/>
              <w:rPr>
                <w:rFonts w:hint="eastAsia" w:ascii="DejaVu Math TeX Gyre" w:hAnsi="DejaVu Math TeX Gyre" w:eastAsia="宋体" w:cs="宋体"/>
                <w:color w:val="auto"/>
                <w:sz w:val="24"/>
                <w:szCs w:val="24"/>
              </w:rPr>
              <m:t>0H面积−12/24H面积</m:t>
            </m:r>
            <m:ctrlPr>
              <w:rPr>
                <w:rFonts w:hint="eastAsia" w:ascii="DejaVu Math TeX Gyre" w:hAnsi="DejaVu Math TeX Gyre" w:eastAsia="宋体" w:cs="宋体"/>
                <w:color w:val="auto"/>
                <w:sz w:val="24"/>
                <w:szCs w:val="24"/>
              </w:rPr>
            </m:ctrlPr>
          </m:num>
          <m:den>
            <m:r>
              <m:rPr>
                <m:sty m:val="p"/>
              </m:rPr>
              <w:rPr>
                <w:rFonts w:hint="eastAsia" w:ascii="DejaVu Math TeX Gyre" w:hAnsi="DejaVu Math TeX Gyre" w:eastAsia="宋体" w:cs="宋体"/>
                <w:color w:val="auto"/>
                <w:sz w:val="24"/>
                <w:szCs w:val="24"/>
              </w:rPr>
              <m:t>0H面积</m:t>
            </m:r>
            <m:ctrlPr>
              <w:rPr>
                <w:rFonts w:hint="eastAsia" w:ascii="DejaVu Math TeX Gyre" w:hAnsi="DejaVu Math TeX Gyre" w:eastAsia="宋体" w:cs="宋体"/>
                <w:color w:val="auto"/>
                <w:sz w:val="24"/>
                <w:szCs w:val="24"/>
              </w:rPr>
            </m:ctrlPr>
          </m:den>
        </m:f>
        <m:r>
          <m:rPr>
            <m:sty m:val="p"/>
          </m:rPr>
          <w:rPr>
            <w:rFonts w:hint="eastAsia" w:ascii="DejaVu Math TeX Gyre" w:hAnsi="DejaVu Math TeX Gyre" w:eastAsia="宋体" w:cs="宋体"/>
            <w:color w:val="auto"/>
            <w:sz w:val="24"/>
            <w:szCs w:val="24"/>
          </w:rPr>
          <m:t xml:space="preserve"> ×100%</m:t>
        </m:r>
      </m:oMath>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w:t>
      </w:r>
      <w:r>
        <w:rPr>
          <w:rFonts w:hint="eastAsia" w:ascii="宋体" w:hAnsi="宋体" w:eastAsia="宋体" w:cs="宋体"/>
          <w:bCs/>
          <w:color w:val="auto"/>
          <w:sz w:val="24"/>
          <w:szCs w:val="24"/>
        </w:rPr>
        <w:t>式</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w:t>
      </w:r>
      <w:bookmarkEnd w:id="51"/>
      <w:r>
        <w:rPr>
          <w:rFonts w:hint="eastAsia" w:ascii="宋体" w:hAnsi="宋体" w:eastAsia="宋体" w:cs="宋体"/>
          <w:bCs/>
          <w:color w:val="auto"/>
          <w:sz w:val="24"/>
          <w:szCs w:val="24"/>
          <w:lang w:val="en-US" w:eastAsia="zh-CN"/>
        </w:rPr>
        <w:t>3</w:t>
      </w:r>
    </w:p>
    <w:p>
      <w:pPr>
        <w:pStyle w:val="3"/>
        <w:rPr>
          <w:rFonts w:hint="eastAsia" w:ascii="宋体" w:hAnsi="宋体" w:eastAsia="宋体" w:cs="宋体"/>
          <w:b w:val="0"/>
          <w:bCs w:val="0"/>
          <w:color w:val="auto"/>
          <w:sz w:val="24"/>
          <w:szCs w:val="24"/>
        </w:rPr>
      </w:pPr>
      <w:bookmarkStart w:id="52" w:name="_Toc100174039"/>
      <w:r>
        <w:rPr>
          <w:rFonts w:hint="eastAsia" w:ascii="宋体" w:hAnsi="宋体" w:eastAsia="宋体" w:cs="宋体"/>
          <w:b w:val="0"/>
          <w:bCs w:val="0"/>
          <w:color w:val="auto"/>
          <w:sz w:val="24"/>
          <w:szCs w:val="24"/>
        </w:rPr>
        <w:t>细胞迁移结果</w:t>
      </w:r>
      <w:bookmarkEnd w:id="52"/>
    </w:p>
    <w:p>
      <w:pPr>
        <w:pStyle w:val="4"/>
        <w:numPr>
          <w:ilvl w:val="0"/>
          <w:numId w:val="0"/>
        </w:numPr>
        <w:spacing w:line="400" w:lineRule="exact"/>
        <w:ind w:firstLine="480" w:firstLineChars="200"/>
        <w:rPr>
          <w:rFonts w:hint="eastAsia" w:ascii="宋体" w:hAnsi="宋体" w:eastAsia="宋体" w:cs="宋体"/>
          <w:bCs/>
          <w:color w:val="auto"/>
          <w:sz w:val="24"/>
          <w:szCs w:val="24"/>
        </w:rPr>
      </w:pPr>
      <w:r>
        <w:rPr>
          <w:rFonts w:hint="eastAsia" w:ascii="宋体" w:hAnsi="宋体" w:eastAsia="宋体" w:cs="宋体"/>
          <w:b w:val="0"/>
          <w:bCs w:val="0"/>
          <w:color w:val="auto"/>
          <w:sz w:val="24"/>
          <w:szCs w:val="24"/>
        </w:rPr>
        <w:t>细胞密度</w:t>
      </w:r>
      <w:r>
        <w:rPr>
          <w:rFonts w:hint="eastAsia" w:ascii="宋体" w:hAnsi="宋体" w:eastAsia="宋体" w:cs="宋体"/>
          <w:b w:val="0"/>
          <w:bCs w:val="0"/>
          <w:color w:val="auto"/>
          <w:sz w:val="24"/>
          <w:szCs w:val="24"/>
          <w:lang w:val="en-US" w:eastAsia="zh-CN"/>
        </w:rPr>
        <w:t>确定：</w:t>
      </w:r>
      <w:r>
        <w:rPr>
          <w:rFonts w:hint="eastAsia" w:ascii="宋体" w:hAnsi="宋体" w:eastAsia="宋体" w:cs="宋体"/>
          <w:b w:val="0"/>
          <w:bCs w:val="0"/>
          <w:color w:val="auto"/>
          <w:sz w:val="24"/>
          <w:szCs w:val="24"/>
        </w:rPr>
        <w:t>将人皮肤成纤维细胞按照1×10</w:t>
      </w:r>
      <w:r>
        <w:rPr>
          <w:rFonts w:hint="eastAsia" w:ascii="宋体" w:hAnsi="宋体" w:eastAsia="宋体" w:cs="宋体"/>
          <w:b w:val="0"/>
          <w:bCs w:val="0"/>
          <w:color w:val="auto"/>
          <w:sz w:val="24"/>
          <w:szCs w:val="24"/>
          <w:vertAlign w:val="superscript"/>
        </w:rPr>
        <w:t>5</w:t>
      </w:r>
      <w:r>
        <w:rPr>
          <w:rFonts w:hint="eastAsia" w:ascii="宋体" w:hAnsi="宋体" w:eastAsia="宋体" w:cs="宋体"/>
          <w:b w:val="0"/>
          <w:bCs w:val="0"/>
          <w:color w:val="auto"/>
          <w:sz w:val="24"/>
          <w:szCs w:val="24"/>
        </w:rPr>
        <w:t>个/mL、2×10</w:t>
      </w:r>
      <w:r>
        <w:rPr>
          <w:rFonts w:hint="eastAsia" w:ascii="宋体" w:hAnsi="宋体" w:eastAsia="宋体" w:cs="宋体"/>
          <w:b w:val="0"/>
          <w:bCs w:val="0"/>
          <w:color w:val="auto"/>
          <w:sz w:val="24"/>
          <w:szCs w:val="24"/>
          <w:vertAlign w:val="superscript"/>
        </w:rPr>
        <w:t>5</w:t>
      </w:r>
      <w:r>
        <w:rPr>
          <w:rFonts w:hint="eastAsia" w:ascii="宋体" w:hAnsi="宋体" w:eastAsia="宋体" w:cs="宋体"/>
          <w:b w:val="0"/>
          <w:bCs w:val="0"/>
          <w:color w:val="auto"/>
          <w:sz w:val="24"/>
          <w:szCs w:val="24"/>
        </w:rPr>
        <w:t>个/mL铺于24孔板内，设置10%血清组和无血清组，观察0、12h、24h三个时间点细胞迁移情况。不同细胞密度24h、48h的细胞迁移结果所示：24小时后，2×10</w:t>
      </w:r>
      <w:r>
        <w:rPr>
          <w:rFonts w:hint="eastAsia" w:ascii="宋体" w:hAnsi="宋体" w:eastAsia="宋体" w:cs="宋体"/>
          <w:b w:val="0"/>
          <w:bCs w:val="0"/>
          <w:color w:val="auto"/>
          <w:sz w:val="24"/>
          <w:szCs w:val="24"/>
          <w:vertAlign w:val="superscript"/>
        </w:rPr>
        <w:t>5</w:t>
      </w:r>
      <w:r>
        <w:rPr>
          <w:rFonts w:hint="eastAsia" w:ascii="宋体" w:hAnsi="宋体" w:eastAsia="宋体" w:cs="宋体"/>
          <w:b w:val="0"/>
          <w:bCs w:val="0"/>
          <w:color w:val="auto"/>
          <w:sz w:val="24"/>
          <w:szCs w:val="24"/>
        </w:rPr>
        <w:t>个/mL密度的血清组的细胞基本铺满划痕处，而无血清组还未铺满，1×10</w:t>
      </w:r>
      <w:r>
        <w:rPr>
          <w:rFonts w:hint="eastAsia" w:ascii="宋体" w:hAnsi="宋体" w:eastAsia="宋体" w:cs="宋体"/>
          <w:b w:val="0"/>
          <w:bCs w:val="0"/>
          <w:color w:val="auto"/>
          <w:sz w:val="24"/>
          <w:szCs w:val="24"/>
          <w:vertAlign w:val="superscript"/>
        </w:rPr>
        <w:t>5</w:t>
      </w:r>
      <w:r>
        <w:rPr>
          <w:rFonts w:hint="eastAsia" w:ascii="宋体" w:hAnsi="宋体" w:eastAsia="宋体" w:cs="宋体"/>
          <w:b w:val="0"/>
          <w:bCs w:val="0"/>
          <w:color w:val="auto"/>
          <w:sz w:val="24"/>
          <w:szCs w:val="24"/>
        </w:rPr>
        <w:t>个/mL密度的血清组和无血清组细胞均未铺满划痕处，故为考虑观察不同生物材料对细胞迁移的影响，选择1×10</w:t>
      </w:r>
      <w:r>
        <w:rPr>
          <w:rFonts w:hint="eastAsia" w:ascii="宋体" w:hAnsi="宋体" w:eastAsia="宋体" w:cs="宋体"/>
          <w:b w:val="0"/>
          <w:bCs w:val="0"/>
          <w:color w:val="auto"/>
          <w:sz w:val="24"/>
          <w:szCs w:val="24"/>
          <w:vertAlign w:val="superscript"/>
        </w:rPr>
        <w:t>5</w:t>
      </w:r>
      <w:r>
        <w:rPr>
          <w:rFonts w:hint="eastAsia" w:ascii="宋体" w:hAnsi="宋体" w:eastAsia="宋体" w:cs="宋体"/>
          <w:b w:val="0"/>
          <w:bCs w:val="0"/>
          <w:color w:val="auto"/>
          <w:sz w:val="24"/>
          <w:szCs w:val="24"/>
        </w:rPr>
        <w:t>个/mL的细胞密度进行实验，将无血清组作为空白对照组。</w:t>
      </w:r>
    </w:p>
    <w:p>
      <w:pPr>
        <w:pStyle w:val="4"/>
        <w:numPr>
          <w:ilvl w:val="0"/>
          <w:numId w:val="0"/>
        </w:numPr>
        <w:spacing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细胞迁移结果</w:t>
      </w:r>
    </w:p>
    <w:p>
      <w:pPr>
        <w:spacing w:before="163" w:beforeLines="5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综合考虑细胞毒和细胞增殖实验的结果，挑选适当浓度的牛胶原蛋白、鱼胶原蛋白、重组人胶原蛋白、海藻酸钠、壳聚糖、β-葡聚糖六种生物材料进行细胞迁移实验。</w:t>
      </w:r>
    </w:p>
    <w:p>
      <w:pPr>
        <w:pStyle w:val="18"/>
        <w:numPr>
          <w:ilvl w:val="0"/>
          <w:numId w:val="0"/>
        </w:numPr>
        <w:spacing w:before="163" w:beforeLines="5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胶原蛋白类生物材料</w:t>
      </w:r>
    </w:p>
    <w:p>
      <w:pPr>
        <w:spacing w:before="163" w:beforeLines="5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细胞划痕结果显示：三种胶原蛋白对人成纤维细胞具有一定的促迁移的作用，牛胶原蛋白的促迁移作用强于鱼胶原蛋白和重组人胶原蛋白。根据公式</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计算不同胶原蛋白组的细胞迁移率结果所示：12h、24h时空白对照组的迁移率分别为：(23.94±4.51)%和(47.46±1.01)%；50 mg/mL牛胶原蛋白迁移作用最好，其迁移率分别为：(47.36±1.35)%、(88.93±3.13)%；25 mg/mL鱼胶原蛋白促细胞迁移的作用最好，12h和24h迁移率分别为：(35.66±0.51)%和(79.30±1.25)%；20 mg/mL的重组人胶原蛋白的迁移率分别为：(13.98±0.90)%和(66.44±1.39)%。</w:t>
      </w:r>
    </w:p>
    <w:p>
      <w:pPr>
        <w:pStyle w:val="18"/>
        <w:numPr>
          <w:ilvl w:val="0"/>
          <w:numId w:val="0"/>
        </w:numPr>
        <w:spacing w:before="163" w:beforeLines="50" w:line="40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多糖类生物材料</w:t>
      </w:r>
    </w:p>
    <w:p>
      <w:pPr>
        <w:spacing w:after="163" w:afterLines="50" w:line="400" w:lineRule="exact"/>
        <w:ind w:firstLine="480" w:firstLineChars="200"/>
        <w:jc w:val="left"/>
        <w:rPr>
          <w:rFonts w:hint="eastAsia" w:ascii="宋体" w:hAnsi="宋体" w:eastAsia="宋体" w:cs="宋体"/>
          <w:bCs/>
          <w:color w:val="auto"/>
          <w:sz w:val="24"/>
          <w:szCs w:val="24"/>
        </w:rPr>
      </w:pPr>
      <w:r>
        <w:rPr>
          <w:rFonts w:hint="eastAsia" w:ascii="宋体" w:hAnsi="宋体" w:eastAsia="宋体" w:cs="宋体"/>
          <w:color w:val="auto"/>
          <w:sz w:val="24"/>
          <w:szCs w:val="24"/>
        </w:rPr>
        <w:t>细胞划痕结果显示：海藻酸钠、壳聚糖、β-葡聚糖三种多糖类生物材料对人成纤维细胞具有促迁移的作用。不同多糖类生物材料组的细胞迁移率结果所示：12h、24h时空白对照组的细胞迁移率分别为：(23.94±4.51)%和(47.46±1.01)%；阳性对照组的细胞迁移率分别为：(30.12±1.75)%和(66.83±5.23)%；高浓度海藻酸钠不具有促进细胞迁移的作用，20 mg/mL的海藻酸钠12h、24h的细胞迁移率分别为：(0.14±0.19) %、(0.00±0.00)%；浓度较低时促进细胞迁移作用较强，海藻酸钠浓度为8 mg/mL时细胞迁移率分别为：(49.67±0.00) %和(100.00±0.00)%；壳聚糖的促迁移作用较强，11 mg/mL壳聚糖的促迁移作用最好，其迁移率分别为：(92.14±11.12)%、(100±0.00)%；24h时不同浓度的β-葡聚糖促进细胞迁移的作用较12h显著，9 mg/mL时其迁移率为(85.12±21.05)%。</w:t>
      </w:r>
    </w:p>
    <w:p>
      <w:pPr>
        <w:keepNext w:val="0"/>
        <w:keepLines w:val="0"/>
        <w:pageBreakBefore w:val="0"/>
        <w:widowControl w:val="0"/>
        <w:kinsoku/>
        <w:wordWrap/>
        <w:overflowPunct/>
        <w:topLinePunct w:val="0"/>
        <w:autoSpaceDE/>
        <w:autoSpaceDN/>
        <w:bidi w:val="0"/>
        <w:adjustRightInd/>
        <w:spacing w:before="163" w:beforeLines="50"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细胞迁移实验结果显示：六种生物材料具有不同程度的促进人成纤维细胞迁移的作用。六种生物材料最佳迁移结果显示：11 mg/mL壳聚糖及8 mg/mL海藻酸钠促迁移效果最佳，24h内可达到100%迁移，9 mg/mLβ-葡聚糖、20 mg/mL重组人胶原蛋白、25 mg/mL鱼胶原蛋白及50 mg/mL牛胶原蛋白分别为其最佳迁移浓度。</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3.2. 综述报告</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试验研究</w:t>
      </w:r>
      <w:r>
        <w:rPr>
          <w:rFonts w:hint="eastAsia" w:ascii="宋体" w:hAnsi="宋体" w:eastAsia="宋体" w:cs="宋体"/>
          <w:color w:val="auto"/>
          <w:sz w:val="24"/>
          <w:szCs w:val="24"/>
        </w:rPr>
        <w:t>了十二种生物材料应用于人成纤维细胞的细胞毒性水平，筛选出不同生物材料作用于人成纤维细胞的安全浓度。</w:t>
      </w:r>
      <w:bookmarkStart w:id="53" w:name="_Hlk97387597"/>
      <w:r>
        <w:rPr>
          <w:rFonts w:hint="eastAsia" w:ascii="宋体" w:hAnsi="宋体" w:eastAsia="宋体" w:cs="宋体"/>
          <w:color w:val="auto"/>
          <w:sz w:val="24"/>
          <w:szCs w:val="24"/>
        </w:rPr>
        <w:t>接着通过检测细胞增殖活力和迁移能力的变化来考察不同生物材料的损伤修复功效，并选择具有皮肤修复潜力的生物材料进行后续研究。</w:t>
      </w:r>
    </w:p>
    <w:bookmarkEnd w:id="53"/>
    <w:p>
      <w:pPr>
        <w:pStyle w:val="18"/>
        <w:numPr>
          <w:ilvl w:val="0"/>
          <w:numId w:val="0"/>
        </w:numPr>
        <w:spacing w:line="400" w:lineRule="exact"/>
        <w:jc w:val="both"/>
        <w:rPr>
          <w:rFonts w:hint="eastAsia" w:ascii="宋体" w:hAnsi="宋体" w:eastAsia="宋体" w:cs="宋体"/>
          <w:color w:val="auto"/>
          <w:sz w:val="24"/>
          <w:szCs w:val="24"/>
        </w:rPr>
      </w:pPr>
      <w:r>
        <w:rPr>
          <w:rFonts w:hint="default" w:ascii="宋体" w:hAnsi="宋体" w:eastAsia="宋体" w:cs="宋体"/>
          <w:color w:val="auto"/>
          <w:sz w:val="24"/>
          <w:szCs w:val="24"/>
        </w:rPr>
        <w:t>1）</w:t>
      </w:r>
      <w:r>
        <w:rPr>
          <w:rFonts w:hint="eastAsia" w:ascii="宋体" w:hAnsi="宋体" w:eastAsia="宋体" w:cs="宋体"/>
          <w:color w:val="auto"/>
          <w:sz w:val="24"/>
          <w:szCs w:val="24"/>
        </w:rPr>
        <w:t>细胞毒性实验结果：</w:t>
      </w:r>
      <w:bookmarkStart w:id="54" w:name="_Hlk97387497"/>
      <w:r>
        <w:rPr>
          <w:rFonts w:hint="eastAsia" w:ascii="宋体" w:hAnsi="宋体" w:eastAsia="宋体" w:cs="宋体"/>
          <w:color w:val="auto"/>
          <w:sz w:val="24"/>
          <w:szCs w:val="24"/>
        </w:rPr>
        <w:t>葡甘聚糖、壳聚糖季铵盐、羟丙甲基纤维素三种生物材料不利于人成纤维细胞的正常生长，具有潜在的细胞毒性；其余九种生物材料：牛胶原蛋白、鱼胶原蛋白、重组人胶原蛋白、海藻酸钠、壳聚糖、β-葡聚糖、硅酸镁锂、泊洛沙姆407、聚赖氨酸一定浓度范围内对人成纤维细胞的正常生长无影响，不具备潜在的细胞毒性，将该浓度范围作为后续实验研究的安全浓度范围。</w:t>
      </w:r>
      <w:bookmarkEnd w:id="54"/>
    </w:p>
    <w:p>
      <w:pPr>
        <w:pStyle w:val="18"/>
        <w:numPr>
          <w:ilvl w:val="0"/>
          <w:numId w:val="0"/>
        </w:numPr>
        <w:spacing w:line="400" w:lineRule="exact"/>
        <w:jc w:val="both"/>
        <w:rPr>
          <w:rFonts w:hint="eastAsia" w:ascii="宋体" w:hAnsi="宋体" w:eastAsia="宋体" w:cs="宋体"/>
          <w:color w:val="auto"/>
          <w:sz w:val="24"/>
          <w:szCs w:val="24"/>
        </w:rPr>
      </w:pPr>
      <w:r>
        <w:rPr>
          <w:rFonts w:hint="default" w:ascii="宋体" w:hAnsi="宋体" w:eastAsia="宋体" w:cs="宋体"/>
          <w:color w:val="auto"/>
          <w:sz w:val="24"/>
          <w:szCs w:val="24"/>
        </w:rPr>
        <w:t>2）</w:t>
      </w:r>
      <w:r>
        <w:rPr>
          <w:rFonts w:hint="eastAsia" w:ascii="宋体" w:hAnsi="宋体" w:eastAsia="宋体" w:cs="宋体"/>
          <w:color w:val="auto"/>
          <w:sz w:val="24"/>
          <w:szCs w:val="24"/>
        </w:rPr>
        <w:t>细胞增殖实验结果：基于细胞毒性实验，对不具潜在细胞毒性的九种生物材料进行深入研究</w:t>
      </w:r>
      <w:bookmarkStart w:id="55" w:name="_Hlk97387857"/>
      <w:r>
        <w:rPr>
          <w:rFonts w:hint="eastAsia" w:ascii="宋体" w:hAnsi="宋体" w:eastAsia="宋体" w:cs="宋体"/>
          <w:color w:val="auto"/>
          <w:sz w:val="24"/>
          <w:szCs w:val="24"/>
        </w:rPr>
        <w:t>。实验发现：聚赖氨酸抑制人成纤维细胞的增殖，泊洛沙姆、硅酸镁锂对人成纤维细胞无明显的促细胞增殖作用，其他六种生物材料具有不同程度的促增殖作用</w:t>
      </w:r>
      <w:bookmarkEnd w:id="55"/>
      <w:r>
        <w:rPr>
          <w:rFonts w:hint="eastAsia" w:ascii="宋体" w:hAnsi="宋体" w:eastAsia="宋体" w:cs="宋体"/>
          <w:color w:val="auto"/>
          <w:sz w:val="24"/>
          <w:szCs w:val="24"/>
        </w:rPr>
        <w:t>。50 mg/mL牛胶原蛋白促进细胞增殖效果最好；50 mg/mL、100 mg/mL鱼胶原蛋白促增殖作用较为显著；重组人胶原蛋白浓度为40 mg/mL时效果最好，20 mg/mL效果次之。24h时10 mg/mL海藻酸钠可促进细胞增殖，其细胞增殖率为(129.39±8.77)%，但在48h和72h时海藻酸钠时表现出抑制细胞增殖的趋势；24-72h内，不同浓度的β-葡聚糖和壳聚糖均表现出一定程度的促细胞增殖作用，浓度越高，促增殖作用越好。</w:t>
      </w:r>
    </w:p>
    <w:p>
      <w:pPr>
        <w:pStyle w:val="18"/>
        <w:numPr>
          <w:ilvl w:val="0"/>
          <w:numId w:val="0"/>
        </w:numPr>
        <w:spacing w:line="400" w:lineRule="exact"/>
        <w:jc w:val="both"/>
        <w:rPr>
          <w:rFonts w:hint="eastAsia" w:ascii="宋体" w:hAnsi="宋体" w:eastAsia="宋体" w:cs="宋体"/>
          <w:color w:val="auto"/>
          <w:sz w:val="24"/>
          <w:szCs w:val="24"/>
        </w:rPr>
      </w:pPr>
      <w:r>
        <w:rPr>
          <w:rFonts w:hint="default" w:ascii="宋体" w:hAnsi="宋体" w:eastAsia="宋体" w:cs="宋体"/>
          <w:color w:val="auto"/>
          <w:sz w:val="24"/>
          <w:szCs w:val="24"/>
        </w:rPr>
        <w:t>3）</w:t>
      </w:r>
      <w:r>
        <w:rPr>
          <w:rFonts w:hint="eastAsia" w:ascii="宋体" w:hAnsi="宋体" w:eastAsia="宋体" w:cs="宋体"/>
          <w:color w:val="auto"/>
          <w:sz w:val="24"/>
          <w:szCs w:val="24"/>
        </w:rPr>
        <w:t>细胞迁移实验结果：人成纤维细胞可以通过增殖和迁移在伤处聚集，参与创面修复过程。实验发现：壳聚糖的促迁移作用最好，12h时，11 mg/mL的细胞迁移率为：(92.14±11.12)%，划痕损伤面几乎全部愈合。高浓度海藻酸钠不具有促进细胞迁移的作用，浓度较低时促进细胞迁移作用较强。24h时8 mg/mL海藻酸钠和11 mg/mL壳聚糖的细胞迁移率可达到100.00%，划痕处完全愈合。24h时β-葡聚糖促细胞迁移的作用较12h显著，9 mg/mLβ-葡聚糖迁移率为(85.12±21.05)%。三种胶原蛋白也表现出具有细胞迁移的作用，牛胶原蛋白的促迁移作用强于鱼胶原蛋白和重组人胶原蛋白。50 mg/mL的牛胶原蛋白迁移作用最好，其迁移率分别为：(47.36±1.35)%、(88.93±3.13)%；25 mg/mL的鱼胶原蛋白促细胞迁移的作用最好，12h和24h迁移率分别为：(35.66±0.51)%和(79.30±1.25)%；20 mg/mL的重组人胶原蛋白的迁移率分别为：(13.98±0.90)%和(66.44±1.39)%。</w:t>
      </w:r>
    </w:p>
    <w:p>
      <w:pPr>
        <w:pStyle w:val="18"/>
        <w:numPr>
          <w:ilvl w:val="0"/>
          <w:numId w:val="0"/>
        </w:numPr>
        <w:spacing w:line="400" w:lineRule="exact"/>
        <w:jc w:val="both"/>
        <w:rPr>
          <w:rFonts w:hint="eastAsia" w:ascii="宋体" w:hAnsi="宋体" w:eastAsia="宋体" w:cs="宋体"/>
          <w:color w:val="auto"/>
          <w:sz w:val="24"/>
          <w:szCs w:val="24"/>
        </w:rPr>
      </w:pPr>
      <w:bookmarkStart w:id="56" w:name="_Hlk97388160"/>
      <w:r>
        <w:rPr>
          <w:rFonts w:hint="default" w:ascii="宋体" w:hAnsi="宋体" w:eastAsia="宋体" w:cs="宋体"/>
          <w:color w:val="auto"/>
          <w:sz w:val="24"/>
          <w:szCs w:val="24"/>
        </w:rPr>
        <w:t>4）</w:t>
      </w:r>
      <w:r>
        <w:rPr>
          <w:rFonts w:hint="eastAsia" w:ascii="宋体" w:hAnsi="宋体" w:eastAsia="宋体" w:cs="宋体"/>
          <w:color w:val="auto"/>
          <w:sz w:val="24"/>
          <w:szCs w:val="24"/>
          <w:lang w:val="en-US" w:eastAsia="zh-CN"/>
        </w:rPr>
        <w:t>采用该试验方法</w:t>
      </w:r>
      <w:r>
        <w:rPr>
          <w:rFonts w:hint="eastAsia" w:ascii="宋体" w:hAnsi="宋体" w:eastAsia="宋体" w:cs="宋体"/>
          <w:color w:val="auto"/>
          <w:sz w:val="24"/>
          <w:szCs w:val="24"/>
        </w:rPr>
        <w:t>综合细胞毒性、细胞增殖及细胞迁移结果，初步筛选了六种具有潜在细胞修复能力的生物材料，并挑选出这六种生物材料表现较好的浓度作为后续实验研究的基础浓度。</w:t>
      </w:r>
      <w:bookmarkEnd w:id="5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hAnsi="宋体" w:eastAsia="宋体"/>
          <w:sz w:val="24"/>
          <w:szCs w:val="24"/>
          <w:lang w:val="en-US" w:eastAsia="zh-CN"/>
        </w:rPr>
      </w:pPr>
      <w:r>
        <w:rPr>
          <w:rFonts w:hint="eastAsia" w:ascii="宋体" w:hAnsi="宋体" w:eastAsia="宋体" w:cs="宋体"/>
          <w:sz w:val="24"/>
          <w:szCs w:val="24"/>
          <w:lang w:val="en-US" w:eastAsia="zh-CN"/>
        </w:rPr>
        <w:t>在研究验证的基础上</w:t>
      </w:r>
      <w:r>
        <w:rPr>
          <w:rFonts w:hint="eastAsia" w:ascii="宋体" w:hAnsi="宋体" w:eastAsia="宋体" w:cs="宋体"/>
          <w:sz w:val="24"/>
          <w:szCs w:val="24"/>
        </w:rPr>
        <w:t>首次</w:t>
      </w:r>
      <w:r>
        <w:rPr>
          <w:rFonts w:hint="eastAsia" w:ascii="宋体" w:hAnsi="宋体" w:eastAsia="宋体" w:cs="宋体"/>
          <w:sz w:val="24"/>
          <w:szCs w:val="24"/>
          <w:lang w:val="en-US" w:eastAsia="zh-CN"/>
        </w:rPr>
        <w:t>起草了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创面修复材料有效性评价 第1部分：</w:t>
      </w:r>
      <w:r>
        <w:rPr>
          <w:rFonts w:hint="eastAsia" w:ascii="宋体" w:hAnsi="宋体" w:eastAsia="宋体" w:cs="宋体"/>
          <w:b w:val="0"/>
          <w:bCs w:val="0"/>
          <w:sz w:val="24"/>
          <w:szCs w:val="24"/>
          <w:lang w:eastAsia="zh-CN"/>
        </w:rPr>
        <w:t>可溶性材料体外评价方法</w:t>
      </w:r>
      <w:r>
        <w:rPr>
          <w:rFonts w:hint="eastAsia" w:ascii="宋体" w:hAnsi="宋体" w:eastAsia="宋体" w:cs="宋体"/>
          <w:b w:val="0"/>
          <w:bCs w:val="0"/>
          <w:sz w:val="24"/>
          <w:szCs w:val="24"/>
        </w:rPr>
        <w:t>》团体标准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对于创面修复材料有效性评价提供了可靠有效的评价方法，对于该类产品的研究提供的解决方案。</w:t>
      </w:r>
    </w:p>
    <w:p>
      <w:pPr>
        <w:snapToGrid w:val="0"/>
        <w:spacing w:line="360" w:lineRule="auto"/>
        <w:rPr>
          <w:rFonts w:ascii="宋体" w:hAnsi="宋体" w:eastAsia="宋体" w:cs="Times New Roman"/>
          <w:b/>
          <w:bCs/>
          <w:sz w:val="24"/>
          <w:szCs w:val="24"/>
        </w:rPr>
      </w:pPr>
      <w:r>
        <w:rPr>
          <w:rFonts w:ascii="宋体" w:hAnsi="宋体" w:eastAsia="宋体" w:cs="Times New Roman"/>
          <w:b/>
          <w:bCs/>
          <w:sz w:val="24"/>
          <w:szCs w:val="24"/>
        </w:rPr>
        <w:t>4 经济效果</w:t>
      </w:r>
    </w:p>
    <w:p>
      <w:pPr>
        <w:pStyle w:val="22"/>
        <w:snapToGrid w:val="0"/>
        <w:spacing w:line="360" w:lineRule="auto"/>
        <w:ind w:firstLine="480"/>
        <w:rPr>
          <w:rFonts w:hAnsi="宋体"/>
          <w:sz w:val="24"/>
        </w:rPr>
      </w:pPr>
      <w:r>
        <w:rPr>
          <w:rFonts w:hint="eastAsia" w:hAnsi="宋体"/>
          <w:sz w:val="24"/>
        </w:rPr>
        <w:t>本标准的制定，将填补国内</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创面修复材料有效性评价 第1部分：</w:t>
      </w:r>
      <w:r>
        <w:rPr>
          <w:rFonts w:hint="eastAsia" w:hAnsi="宋体" w:cs="宋体"/>
          <w:b w:val="0"/>
          <w:bCs w:val="0"/>
          <w:sz w:val="24"/>
          <w:szCs w:val="24"/>
          <w:lang w:eastAsia="zh-CN"/>
        </w:rPr>
        <w:t>可溶性材料体外评价方法</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标准</w:t>
      </w:r>
      <w:r>
        <w:rPr>
          <w:rFonts w:hint="eastAsia" w:hAnsi="宋体"/>
          <w:sz w:val="24"/>
        </w:rPr>
        <w:t>的空白，有助于产业在</w:t>
      </w:r>
      <w:r>
        <w:rPr>
          <w:rFonts w:hint="eastAsia" w:hAnsi="宋体"/>
          <w:sz w:val="24"/>
          <w:lang w:val="en-US" w:eastAsia="zh-CN"/>
        </w:rPr>
        <w:t>创面修复有效性检测</w:t>
      </w:r>
      <w:r>
        <w:rPr>
          <w:rFonts w:hint="eastAsia" w:hAnsi="宋体"/>
          <w:sz w:val="24"/>
        </w:rPr>
        <w:t>方面作出科学、严格、规范的依据，相关检验机构开展</w:t>
      </w:r>
      <w:r>
        <w:rPr>
          <w:rFonts w:hint="eastAsia" w:hAnsi="宋体"/>
          <w:sz w:val="24"/>
          <w:lang w:val="en-US" w:eastAsia="zh-CN"/>
        </w:rPr>
        <w:t>创面材料有效性检测</w:t>
      </w:r>
      <w:r>
        <w:rPr>
          <w:rFonts w:hint="eastAsia" w:hAnsi="宋体"/>
          <w:sz w:val="24"/>
        </w:rPr>
        <w:t>工作提供技术参考。</w:t>
      </w:r>
      <w:r>
        <w:rPr>
          <w:rFonts w:hint="eastAsia" w:hAnsi="宋体"/>
          <w:sz w:val="24"/>
          <w:lang w:val="en-US" w:eastAsia="zh-CN"/>
        </w:rPr>
        <w:t>为创面修复材料研究提供了评价手段</w:t>
      </w:r>
      <w:r>
        <w:rPr>
          <w:rFonts w:hint="eastAsia" w:hAnsi="宋体"/>
          <w:sz w:val="24"/>
        </w:rPr>
        <w:t>。</w:t>
      </w:r>
    </w:p>
    <w:p>
      <w:pPr>
        <w:snapToGrid w:val="0"/>
        <w:spacing w:line="360" w:lineRule="auto"/>
        <w:rPr>
          <w:rFonts w:ascii="宋体" w:hAnsi="宋体" w:eastAsia="宋体" w:cs="Times New Roman"/>
          <w:b/>
          <w:bCs/>
          <w:sz w:val="24"/>
          <w:szCs w:val="24"/>
        </w:rPr>
      </w:pPr>
      <w:r>
        <w:rPr>
          <w:rFonts w:ascii="宋体" w:hAnsi="宋体" w:eastAsia="宋体" w:cs="Times New Roman"/>
          <w:b/>
          <w:bCs/>
          <w:sz w:val="24"/>
          <w:szCs w:val="24"/>
        </w:rPr>
        <w:t>5 采用国际标准的程度及水平的简要说明</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经查新，暂未见有关于</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创面修复材料有效性评价 第1部分：</w:t>
      </w:r>
      <w:r>
        <w:rPr>
          <w:rFonts w:hint="eastAsia" w:ascii="宋体" w:hAnsi="宋体" w:eastAsia="宋体" w:cs="宋体"/>
          <w:b w:val="0"/>
          <w:bCs w:val="0"/>
          <w:sz w:val="24"/>
          <w:szCs w:val="24"/>
          <w:lang w:eastAsia="zh-CN"/>
        </w:rPr>
        <w:t>可溶性材料体外评价方法》</w:t>
      </w:r>
      <w:r>
        <w:rPr>
          <w:rFonts w:hint="eastAsia" w:ascii="宋体" w:hAnsi="宋体" w:eastAsia="宋体" w:cs="宋体"/>
          <w:sz w:val="24"/>
          <w:szCs w:val="24"/>
          <w:lang w:val="en-US" w:eastAsia="zh-CN"/>
        </w:rPr>
        <w:t>检测</w:t>
      </w:r>
      <w:r>
        <w:rPr>
          <w:rFonts w:hint="eastAsia" w:ascii="宋体" w:hAnsi="宋体" w:eastAsia="宋体" w:cs="宋体"/>
          <w:sz w:val="24"/>
          <w:szCs w:val="24"/>
        </w:rPr>
        <w:t>技术相关的推荐性国家标准、推荐性行业标准。</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国际标准和国外先进标准：经查新未见有同类国际及国外先进标准。</w:t>
      </w:r>
    </w:p>
    <w:p>
      <w:pPr>
        <w:snapToGrid w:val="0"/>
        <w:spacing w:line="360" w:lineRule="auto"/>
        <w:rPr>
          <w:rFonts w:ascii="宋体" w:hAnsi="宋体" w:eastAsia="宋体" w:cs="Times New Roman"/>
          <w:b/>
          <w:bCs/>
          <w:sz w:val="24"/>
          <w:szCs w:val="24"/>
        </w:rPr>
      </w:pPr>
      <w:r>
        <w:rPr>
          <w:rFonts w:ascii="宋体" w:hAnsi="宋体" w:eastAsia="宋体" w:cs="Times New Roman"/>
          <w:b/>
          <w:bCs/>
          <w:sz w:val="24"/>
          <w:szCs w:val="24"/>
        </w:rPr>
        <w:t>6 与有关的现行法律、法规和强制性标准的关系</w:t>
      </w:r>
    </w:p>
    <w:p>
      <w:pPr>
        <w:pStyle w:val="22"/>
        <w:snapToGrid w:val="0"/>
        <w:spacing w:line="360" w:lineRule="auto"/>
        <w:ind w:firstLine="480"/>
        <w:rPr>
          <w:rFonts w:hint="eastAsia" w:hAnsi="宋体"/>
          <w:sz w:val="24"/>
          <w:szCs w:val="24"/>
        </w:rPr>
      </w:pPr>
      <w:r>
        <w:rPr>
          <w:rFonts w:hint="eastAsia" w:hAnsi="宋体"/>
          <w:sz w:val="24"/>
          <w:szCs w:val="24"/>
        </w:rPr>
        <w:t>本标准没有采用国际标准和国外先进标准。</w:t>
      </w:r>
    </w:p>
    <w:p>
      <w:pPr>
        <w:pStyle w:val="22"/>
        <w:snapToGrid w:val="0"/>
        <w:spacing w:line="360" w:lineRule="auto"/>
        <w:ind w:firstLine="480"/>
        <w:rPr>
          <w:rFonts w:hAnsi="宋体"/>
          <w:sz w:val="24"/>
          <w:szCs w:val="24"/>
        </w:rPr>
      </w:pPr>
      <w:r>
        <w:rPr>
          <w:rFonts w:hint="eastAsia" w:hAnsi="宋体"/>
          <w:sz w:val="24"/>
          <w:szCs w:val="24"/>
        </w:rPr>
        <w:t>本标准与现行相关法律、法规、规章及相关标准协调一致。</w:t>
      </w:r>
    </w:p>
    <w:p>
      <w:pPr>
        <w:snapToGrid w:val="0"/>
        <w:spacing w:line="360" w:lineRule="auto"/>
        <w:rPr>
          <w:rFonts w:ascii="宋体" w:hAnsi="宋体" w:eastAsia="宋体" w:cs="Times New Roman"/>
          <w:b/>
          <w:bCs/>
          <w:sz w:val="24"/>
          <w:szCs w:val="24"/>
        </w:rPr>
      </w:pPr>
      <w:r>
        <w:rPr>
          <w:rFonts w:ascii="宋体" w:hAnsi="宋体" w:eastAsia="宋体" w:cs="Times New Roman"/>
          <w:b/>
          <w:bCs/>
          <w:sz w:val="24"/>
          <w:szCs w:val="24"/>
        </w:rPr>
        <w:t>7 重大分歧意见的处理经过及依据</w:t>
      </w:r>
    </w:p>
    <w:p>
      <w:pPr>
        <w:pStyle w:val="22"/>
        <w:snapToGrid w:val="0"/>
        <w:spacing w:line="360" w:lineRule="auto"/>
        <w:ind w:firstLine="480"/>
        <w:rPr>
          <w:rFonts w:hint="eastAsia" w:hAnsi="宋体" w:eastAsia="宋体"/>
          <w:sz w:val="24"/>
          <w:szCs w:val="24"/>
          <w:lang w:eastAsia="zh-CN"/>
        </w:rPr>
      </w:pPr>
      <w:r>
        <w:rPr>
          <w:rFonts w:hAnsi="宋体"/>
          <w:sz w:val="24"/>
          <w:szCs w:val="24"/>
        </w:rPr>
        <w:t>无</w:t>
      </w:r>
      <w:r>
        <w:rPr>
          <w:rFonts w:hint="eastAsia" w:hAnsi="宋体"/>
          <w:sz w:val="24"/>
          <w:szCs w:val="24"/>
          <w:lang w:eastAsia="zh-CN"/>
        </w:rPr>
        <w:t>。</w:t>
      </w:r>
    </w:p>
    <w:p>
      <w:pPr>
        <w:snapToGrid w:val="0"/>
        <w:spacing w:line="360" w:lineRule="auto"/>
        <w:rPr>
          <w:rFonts w:ascii="宋体" w:hAnsi="宋体" w:eastAsia="宋体" w:cs="Times New Roman"/>
          <w:b/>
          <w:bCs/>
          <w:sz w:val="24"/>
          <w:szCs w:val="24"/>
        </w:rPr>
      </w:pPr>
      <w:r>
        <w:rPr>
          <w:rFonts w:ascii="宋体" w:hAnsi="宋体" w:eastAsia="宋体" w:cs="Times New Roman"/>
          <w:b/>
          <w:bCs/>
          <w:sz w:val="24"/>
          <w:szCs w:val="24"/>
        </w:rPr>
        <w:t>8 其他给予说明的事项</w:t>
      </w:r>
    </w:p>
    <w:p>
      <w:pPr>
        <w:pStyle w:val="22"/>
        <w:snapToGrid w:val="0"/>
        <w:spacing w:line="360" w:lineRule="auto"/>
        <w:ind w:firstLine="480"/>
        <w:rPr>
          <w:rFonts w:hint="eastAsia" w:hAnsi="宋体"/>
          <w:sz w:val="24"/>
          <w:szCs w:val="24"/>
          <w:lang w:eastAsia="zh-CN"/>
        </w:rPr>
      </w:pPr>
      <w:r>
        <w:rPr>
          <w:rFonts w:hAnsi="宋体"/>
          <w:sz w:val="24"/>
          <w:szCs w:val="24"/>
        </w:rPr>
        <w:t>无</w:t>
      </w:r>
      <w:bookmarkEnd w:id="0"/>
      <w:r>
        <w:rPr>
          <w:rFonts w:hint="eastAsia" w:hAnsi="宋体"/>
          <w:sz w:val="24"/>
          <w:szCs w:val="24"/>
          <w:lang w:eastAsia="zh-CN"/>
        </w:rPr>
        <w:t>。</w:t>
      </w:r>
    </w:p>
    <w:p>
      <w:pPr>
        <w:pStyle w:val="22"/>
        <w:snapToGrid w:val="0"/>
        <w:spacing w:line="360" w:lineRule="auto"/>
        <w:ind w:firstLine="480"/>
        <w:jc w:val="right"/>
        <w:rPr>
          <w:rFonts w:hint="eastAsia" w:hAnsi="宋体"/>
          <w:sz w:val="24"/>
          <w:szCs w:val="24"/>
          <w:lang w:eastAsia="zh-CN"/>
        </w:rPr>
      </w:pPr>
    </w:p>
    <w:p>
      <w:pPr>
        <w:pStyle w:val="22"/>
        <w:snapToGrid w:val="0"/>
        <w:spacing w:line="360" w:lineRule="auto"/>
        <w:ind w:firstLine="480"/>
        <w:jc w:val="right"/>
        <w:rPr>
          <w:rFonts w:hint="eastAsia" w:hAnsi="宋体"/>
          <w:sz w:val="24"/>
          <w:szCs w:val="24"/>
          <w:lang w:eastAsia="zh-CN"/>
        </w:rPr>
      </w:pPr>
    </w:p>
    <w:p>
      <w:pPr>
        <w:pStyle w:val="22"/>
        <w:snapToGrid w:val="0"/>
        <w:spacing w:line="360" w:lineRule="auto"/>
        <w:ind w:firstLine="480"/>
        <w:jc w:val="right"/>
        <w:rPr>
          <w:rFonts w:hint="eastAsia" w:hAnsi="宋体"/>
          <w:sz w:val="24"/>
          <w:szCs w:val="24"/>
          <w:lang w:eastAsia="zh-CN"/>
        </w:rPr>
      </w:pPr>
    </w:p>
    <w:p>
      <w:pPr>
        <w:pStyle w:val="22"/>
        <w:snapToGrid w:val="0"/>
        <w:spacing w:line="360" w:lineRule="auto"/>
        <w:ind w:firstLine="480"/>
        <w:jc w:val="right"/>
        <w:rPr>
          <w:rFonts w:hint="default" w:hAnsi="宋体"/>
          <w:sz w:val="24"/>
          <w:szCs w:val="24"/>
          <w:lang w:val="en-US" w:eastAsia="zh-CN"/>
        </w:rPr>
      </w:pPr>
      <w:r>
        <w:rPr>
          <w:rFonts w:hint="eastAsia" w:hAnsi="宋体"/>
          <w:sz w:val="24"/>
          <w:szCs w:val="24"/>
          <w:lang w:val="en-US" w:eastAsia="zh-CN"/>
        </w:rPr>
        <w:t>标准起草工作组</w:t>
      </w:r>
    </w:p>
    <w:p>
      <w:pPr>
        <w:pStyle w:val="22"/>
        <w:snapToGrid w:val="0"/>
        <w:spacing w:line="360" w:lineRule="auto"/>
        <w:ind w:firstLine="480"/>
        <w:jc w:val="right"/>
        <w:rPr>
          <w:rFonts w:hint="eastAsia" w:hAnsi="宋体"/>
          <w:sz w:val="24"/>
          <w:szCs w:val="24"/>
          <w:lang w:eastAsia="zh-CN"/>
        </w:rPr>
      </w:pPr>
      <w:bookmarkStart w:id="57" w:name="_GoBack"/>
      <w:bookmarkEnd w:id="57"/>
      <w:r>
        <w:rPr>
          <w:rFonts w:hint="eastAsia" w:hAnsi="宋体"/>
          <w:sz w:val="24"/>
          <w:szCs w:val="24"/>
          <w:lang w:eastAsia="zh-CN"/>
        </w:rPr>
        <w:t>202</w:t>
      </w:r>
      <w:r>
        <w:rPr>
          <w:rFonts w:hint="eastAsia" w:hAnsi="宋体"/>
          <w:sz w:val="24"/>
          <w:szCs w:val="24"/>
          <w:lang w:val="en-US" w:eastAsia="zh-CN"/>
        </w:rPr>
        <w:t>3</w:t>
      </w:r>
      <w:r>
        <w:rPr>
          <w:rFonts w:hint="eastAsia" w:hAnsi="宋体"/>
          <w:sz w:val="24"/>
          <w:szCs w:val="24"/>
          <w:lang w:eastAsia="zh-CN"/>
        </w:rPr>
        <w:t>年</w:t>
      </w:r>
      <w:r>
        <w:rPr>
          <w:rFonts w:hint="eastAsia" w:hAnsi="宋体"/>
          <w:sz w:val="24"/>
          <w:szCs w:val="24"/>
          <w:lang w:val="en-US" w:eastAsia="zh-CN"/>
        </w:rPr>
        <w:t>10</w:t>
      </w:r>
      <w:r>
        <w:rPr>
          <w:rFonts w:hint="eastAsia" w:hAnsi="宋体"/>
          <w:sz w:val="24"/>
          <w:szCs w:val="24"/>
          <w:lang w:eastAsia="zh-CN"/>
        </w:rPr>
        <w:t>月</w:t>
      </w:r>
      <w:r>
        <w:rPr>
          <w:rFonts w:hint="eastAsia" w:hAnsi="宋体"/>
          <w:sz w:val="24"/>
          <w:szCs w:val="24"/>
          <w:lang w:val="en-US" w:eastAsia="zh-CN"/>
        </w:rPr>
        <w:t>7</w:t>
      </w:r>
      <w:r>
        <w:rPr>
          <w:rFonts w:hint="eastAsia" w:hAnsi="宋体"/>
          <w:sz w:val="24"/>
          <w:szCs w:val="24"/>
          <w:lang w:eastAsia="zh-CN"/>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embedRegular r:id="rId1" w:fontKey="{545C06F0-8AF8-3C22-A8D2-2C656F3D6391}"/>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DejaVu Math TeX Gyre">
    <w:panose1 w:val="02000503000000000000"/>
    <w:charset w:val="00"/>
    <w:family w:val="auto"/>
    <w:pitch w:val="default"/>
    <w:sig w:usb0="A10000EF" w:usb1="4201F9EE" w:usb2="02000000" w:usb3="00000000" w:csb0="60000193" w:csb1="0DD40000"/>
    <w:embedRegular r:id="rId2" w:fontKey="{68228CA7-3AE6-A065-A8D2-2C6566F23DC9}"/>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E2C58"/>
    <w:multiLevelType w:val="multilevel"/>
    <w:tmpl w:val="11DE2C58"/>
    <w:lvl w:ilvl="0" w:tentative="0">
      <w:start w:val="1"/>
      <w:numFmt w:val="decimal"/>
      <w:suff w:val="space"/>
      <w:lvlText w:val="第 %1 章"/>
      <w:lvlJc w:val="left"/>
      <w:pPr>
        <w:tabs>
          <w:tab w:val="left" w:pos="0"/>
        </w:tabs>
        <w:ind w:left="0" w:firstLine="0"/>
      </w:pPr>
    </w:lvl>
    <w:lvl w:ilvl="1" w:tentative="0">
      <w:start w:val="1"/>
      <w:numFmt w:val="decimal"/>
      <w:pStyle w:val="2"/>
      <w:suff w:val="space"/>
      <w:lvlText w:val="%1.%2"/>
      <w:lvlJc w:val="left"/>
      <w:pPr>
        <w:tabs>
          <w:tab w:val="left" w:pos="6095"/>
        </w:tabs>
        <w:ind w:left="6095" w:firstLine="0"/>
      </w:pPr>
      <w:rPr>
        <w:rFonts w:hint="default" w:ascii="Times New Roman" w:hAnsi="Times New Roman" w:cs="Times New Roman"/>
        <w:b/>
        <w:bCs/>
      </w:rPr>
    </w:lvl>
    <w:lvl w:ilvl="2" w:tentative="0">
      <w:start w:val="1"/>
      <w:numFmt w:val="decimal"/>
      <w:suff w:val="space"/>
      <w:lvlText w:val="%1.%2.%3"/>
      <w:lvlJc w:val="left"/>
      <w:pPr>
        <w:tabs>
          <w:tab w:val="left" w:pos="142"/>
        </w:tabs>
        <w:ind w:left="142" w:firstLine="0"/>
      </w:pPr>
      <w:rPr>
        <w:rFonts w:hint="default" w:ascii="Times New Roman" w:hAnsi="Times New Roman" w:eastAsia="黑体" w:cs="Times New Roman"/>
      </w:rPr>
    </w:lvl>
    <w:lvl w:ilvl="3" w:tentative="0">
      <w:start w:val="1"/>
      <w:numFmt w:val="decimal"/>
      <w:pStyle w:val="4"/>
      <w:suff w:val="space"/>
      <w:lvlText w:val="%1.%2.%3.%4"/>
      <w:lvlJc w:val="left"/>
      <w:pPr>
        <w:tabs>
          <w:tab w:val="left" w:pos="0"/>
        </w:tabs>
        <w:ind w:left="0" w:firstLine="0"/>
      </w:pPr>
    </w:lvl>
    <w:lvl w:ilvl="4" w:tentative="0">
      <w:start w:val="1"/>
      <w:numFmt w:val="decimal"/>
      <w:suff w:val="space"/>
      <w:lvlText w:val="%1.%2.%3.%4.%5"/>
      <w:lvlJc w:val="left"/>
      <w:pPr>
        <w:tabs>
          <w:tab w:val="left" w:pos="0"/>
        </w:tabs>
        <w:ind w:left="0" w:firstLine="0"/>
      </w:pPr>
    </w:lvl>
    <w:lvl w:ilvl="5" w:tentative="0">
      <w:start w:val="1"/>
      <w:numFmt w:val="decimal"/>
      <w:suff w:val="space"/>
      <w:lvlText w:val="%1.%2.%3.%4.%5.%6"/>
      <w:lvlJc w:val="left"/>
      <w:pPr>
        <w:tabs>
          <w:tab w:val="left" w:pos="0"/>
        </w:tabs>
        <w:ind w:left="0" w:firstLine="0"/>
      </w:pPr>
    </w:lvl>
    <w:lvl w:ilvl="6" w:tentative="0">
      <w:start w:val="1"/>
      <w:numFmt w:val="decimal"/>
      <w:suff w:val="space"/>
      <w:lvlText w:val="%1.%2.%3.%4.%5.%6.%7"/>
      <w:lvlJc w:val="left"/>
      <w:pPr>
        <w:tabs>
          <w:tab w:val="left" w:pos="0"/>
        </w:tabs>
        <w:ind w:left="0" w:firstLine="0"/>
      </w:pPr>
    </w:lvl>
    <w:lvl w:ilvl="7" w:tentative="0">
      <w:start w:val="1"/>
      <w:numFmt w:val="decimal"/>
      <w:suff w:val="space"/>
      <w:lvlText w:val="%1.%2.%3.%4.%5.%6.%7.%8"/>
      <w:lvlJc w:val="left"/>
      <w:pPr>
        <w:tabs>
          <w:tab w:val="left" w:pos="0"/>
        </w:tabs>
        <w:ind w:left="0" w:firstLine="0"/>
      </w:pPr>
    </w:lvl>
    <w:lvl w:ilvl="8" w:tentative="0">
      <w:start w:val="1"/>
      <w:numFmt w:val="decimal"/>
      <w:suff w:val="space"/>
      <w:lvlText w:val="%1.%2.%3.%4.%5.%6.%7.%8.%9"/>
      <w:lvlJc w:val="left"/>
      <w:pPr>
        <w:tabs>
          <w:tab w:val="left" w:pos="0"/>
        </w:tabs>
        <w:ind w:left="0" w:firstLine="0"/>
      </w:pPr>
    </w:lvl>
  </w:abstractNum>
  <w:abstractNum w:abstractNumId="1">
    <w:nsid w:val="1FC91163"/>
    <w:multiLevelType w:val="multilevel"/>
    <w:tmpl w:val="1FC91163"/>
    <w:lvl w:ilvl="0" w:tentative="0">
      <w:start w:val="1"/>
      <w:numFmt w:val="decimal"/>
      <w:pStyle w:val="29"/>
      <w:suff w:val="nothing"/>
      <w:lvlText w:val="%1　"/>
      <w:lvlJc w:val="left"/>
      <w:pPr>
        <w:ind w:left="142" w:firstLine="0"/>
      </w:pPr>
      <w:rPr>
        <w:rFonts w:hint="eastAsia" w:ascii="黑体" w:hAnsi="Times New Roman" w:eastAsia="黑体"/>
        <w:b w:val="0"/>
        <w:i w:val="0"/>
        <w:sz w:val="21"/>
        <w:szCs w:val="21"/>
      </w:rPr>
    </w:lvl>
    <w:lvl w:ilvl="1" w:tentative="0">
      <w:start w:val="1"/>
      <w:numFmt w:val="decimal"/>
      <w:suff w:val="nothing"/>
      <w:lvlText w:val="%1.%2　"/>
      <w:lvlJc w:val="left"/>
      <w:pPr>
        <w:ind w:left="198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2553" w:firstLine="0"/>
      </w:pPr>
      <w:rPr>
        <w:rFonts w:hint="eastAsia" w:ascii="黑体" w:hAnsi="Times New Roman" w:eastAsia="黑体"/>
        <w:b w:val="0"/>
        <w:i w:val="0"/>
        <w:sz w:val="21"/>
      </w:rPr>
    </w:lvl>
    <w:lvl w:ilvl="3" w:tentative="0">
      <w:start w:val="1"/>
      <w:numFmt w:val="decimal"/>
      <w:suff w:val="nothing"/>
      <w:lvlText w:val="%1.%2.%3.%4　"/>
      <w:lvlJc w:val="left"/>
      <w:pPr>
        <w:ind w:left="426" w:firstLine="0"/>
      </w:pPr>
      <w:rPr>
        <w:rFonts w:hint="eastAsia" w:ascii="黑体" w:hAnsi="Times New Roman" w:eastAsia="黑体"/>
        <w:b w:val="0"/>
        <w:i w:val="0"/>
        <w:sz w:val="21"/>
      </w:rPr>
    </w:lvl>
    <w:lvl w:ilvl="4" w:tentative="0">
      <w:start w:val="1"/>
      <w:numFmt w:val="decimal"/>
      <w:suff w:val="nothing"/>
      <w:lvlText w:val="%1.%2.%3.%4.%5　"/>
      <w:lvlJc w:val="left"/>
      <w:pPr>
        <w:ind w:left="142" w:firstLine="0"/>
      </w:pPr>
      <w:rPr>
        <w:rFonts w:hint="eastAsia" w:ascii="黑体" w:hAnsi="Times New Roman" w:eastAsia="黑体"/>
        <w:b w:val="0"/>
        <w:i w:val="0"/>
        <w:sz w:val="21"/>
      </w:rPr>
    </w:lvl>
    <w:lvl w:ilvl="5" w:tentative="0">
      <w:start w:val="1"/>
      <w:numFmt w:val="decimal"/>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C65483"/>
    <w:rsid w:val="000E2AF6"/>
    <w:rsid w:val="00102F3A"/>
    <w:rsid w:val="00122BA5"/>
    <w:rsid w:val="001325C5"/>
    <w:rsid w:val="001615FC"/>
    <w:rsid w:val="00245094"/>
    <w:rsid w:val="002E3DA9"/>
    <w:rsid w:val="003B0A3E"/>
    <w:rsid w:val="003E4979"/>
    <w:rsid w:val="003E76C6"/>
    <w:rsid w:val="004145D1"/>
    <w:rsid w:val="00450E39"/>
    <w:rsid w:val="00490CBB"/>
    <w:rsid w:val="004C7646"/>
    <w:rsid w:val="004D7DD0"/>
    <w:rsid w:val="00535E05"/>
    <w:rsid w:val="00542560"/>
    <w:rsid w:val="005F3A51"/>
    <w:rsid w:val="00633535"/>
    <w:rsid w:val="00651B7E"/>
    <w:rsid w:val="006B28A2"/>
    <w:rsid w:val="00705993"/>
    <w:rsid w:val="0078439A"/>
    <w:rsid w:val="007A1C1C"/>
    <w:rsid w:val="008560B4"/>
    <w:rsid w:val="00884DA7"/>
    <w:rsid w:val="009A3605"/>
    <w:rsid w:val="00A06308"/>
    <w:rsid w:val="00AB0189"/>
    <w:rsid w:val="00AD3FBB"/>
    <w:rsid w:val="00AE3031"/>
    <w:rsid w:val="00B85AAE"/>
    <w:rsid w:val="00C503E7"/>
    <w:rsid w:val="00C65483"/>
    <w:rsid w:val="00CB17A7"/>
    <w:rsid w:val="00CD0282"/>
    <w:rsid w:val="00D17751"/>
    <w:rsid w:val="00D9524E"/>
    <w:rsid w:val="00DA5963"/>
    <w:rsid w:val="00E32248"/>
    <w:rsid w:val="00E32495"/>
    <w:rsid w:val="00E53204"/>
    <w:rsid w:val="00E57EB2"/>
    <w:rsid w:val="00E96FC5"/>
    <w:rsid w:val="00EF3FF5"/>
    <w:rsid w:val="00F03D64"/>
    <w:rsid w:val="00F1091D"/>
    <w:rsid w:val="00F50CE3"/>
    <w:rsid w:val="05746676"/>
    <w:rsid w:val="08446DC1"/>
    <w:rsid w:val="0EBF339C"/>
    <w:rsid w:val="148E0DD7"/>
    <w:rsid w:val="17123F41"/>
    <w:rsid w:val="19EE6CF8"/>
    <w:rsid w:val="1BEF3CAB"/>
    <w:rsid w:val="1E445E34"/>
    <w:rsid w:val="27851DF2"/>
    <w:rsid w:val="28944E1F"/>
    <w:rsid w:val="2DABC8A6"/>
    <w:rsid w:val="382221B8"/>
    <w:rsid w:val="3F4F156B"/>
    <w:rsid w:val="3FB77EE2"/>
    <w:rsid w:val="3FF4225D"/>
    <w:rsid w:val="43C86E29"/>
    <w:rsid w:val="461E6C96"/>
    <w:rsid w:val="49FF10A3"/>
    <w:rsid w:val="4E5F1923"/>
    <w:rsid w:val="558FBFE1"/>
    <w:rsid w:val="55A77192"/>
    <w:rsid w:val="597F8E0A"/>
    <w:rsid w:val="5EFFCC10"/>
    <w:rsid w:val="5F2FD32D"/>
    <w:rsid w:val="5F30F5FE"/>
    <w:rsid w:val="687B6DF6"/>
    <w:rsid w:val="69544C48"/>
    <w:rsid w:val="6BB5E953"/>
    <w:rsid w:val="6EFC51A7"/>
    <w:rsid w:val="6FEA6A20"/>
    <w:rsid w:val="73BEFDC0"/>
    <w:rsid w:val="77DEF983"/>
    <w:rsid w:val="79B2747B"/>
    <w:rsid w:val="7A0348C4"/>
    <w:rsid w:val="7C6FB086"/>
    <w:rsid w:val="7CFE0C38"/>
    <w:rsid w:val="7D7FD5B9"/>
    <w:rsid w:val="7DF5503E"/>
    <w:rsid w:val="7EFF2279"/>
    <w:rsid w:val="7FAFA525"/>
    <w:rsid w:val="7FD53963"/>
    <w:rsid w:val="7FEA3920"/>
    <w:rsid w:val="A7BDCD0F"/>
    <w:rsid w:val="AE87ABD3"/>
    <w:rsid w:val="AFF7F2ED"/>
    <w:rsid w:val="B7772BE0"/>
    <w:rsid w:val="B7EE68CD"/>
    <w:rsid w:val="C1FF8634"/>
    <w:rsid w:val="DBDEFD2E"/>
    <w:rsid w:val="DBFF298F"/>
    <w:rsid w:val="E9DEF4F7"/>
    <w:rsid w:val="EB799802"/>
    <w:rsid w:val="EDE62512"/>
    <w:rsid w:val="F2EFBBA7"/>
    <w:rsid w:val="F7FF85B4"/>
    <w:rsid w:val="FF7583E2"/>
    <w:rsid w:val="FF7BD699"/>
    <w:rsid w:val="FFD9BDA4"/>
    <w:rsid w:val="FFDFE847"/>
    <w:rsid w:val="FFF5B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uiPriority w:val="9"/>
    <w:pPr>
      <w:numPr>
        <w:ilvl w:val="1"/>
        <w:numId w:val="1"/>
      </w:numPr>
      <w:spacing w:before="50" w:beforeLines="50"/>
      <w:outlineLvl w:val="1"/>
    </w:pPr>
    <w:rPr>
      <w:rFonts w:eastAsia="黑体"/>
      <w:b/>
      <w:bCs/>
      <w:sz w:val="30"/>
      <w:szCs w:val="32"/>
    </w:rPr>
  </w:style>
  <w:style w:type="paragraph" w:styleId="3">
    <w:name w:val="heading 3"/>
    <w:basedOn w:val="1"/>
    <w:next w:val="1"/>
    <w:unhideWhenUsed/>
    <w:qFormat/>
    <w:uiPriority w:val="9"/>
    <w:pPr>
      <w:spacing w:before="163" w:beforeLines="50" w:after="163" w:afterLines="50" w:line="400" w:lineRule="exact"/>
      <w:outlineLvl w:val="2"/>
    </w:pPr>
    <w:rPr>
      <w:rFonts w:ascii="Times New Roman" w:hAnsi="Times New Roman" w:eastAsia="黑体" w:cs="Times New Roman"/>
      <w:b/>
      <w:bCs/>
      <w:szCs w:val="32"/>
    </w:rPr>
  </w:style>
  <w:style w:type="paragraph" w:styleId="4">
    <w:name w:val="heading 4"/>
    <w:basedOn w:val="1"/>
    <w:next w:val="1"/>
    <w:unhideWhenUsed/>
    <w:qFormat/>
    <w:uiPriority w:val="9"/>
    <w:pPr>
      <w:numPr>
        <w:ilvl w:val="3"/>
        <w:numId w:val="1"/>
      </w:numPr>
      <w:spacing w:before="120" w:after="120"/>
      <w:outlineLvl w:val="3"/>
    </w:pPr>
    <w:rPr>
      <w:rFonts w:eastAsia="黑体"/>
      <w:b/>
      <w:bCs/>
      <w:szCs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unhideWhenUsed/>
    <w:qFormat/>
    <w:uiPriority w:val="99"/>
    <w:pPr>
      <w:jc w:val="left"/>
    </w:pPr>
  </w:style>
  <w:style w:type="paragraph" w:styleId="6">
    <w:name w:val="Plain Text"/>
    <w:basedOn w:val="1"/>
    <w:qFormat/>
    <w:uiPriority w:val="0"/>
    <w:rPr>
      <w:rFonts w:ascii="宋体" w:hAnsi="Courier New"/>
      <w:szCs w:val="20"/>
    </w:rPr>
  </w:style>
  <w:style w:type="paragraph" w:styleId="7">
    <w:name w:val="Balloon Text"/>
    <w:basedOn w:val="1"/>
    <w:link w:val="24"/>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1">
    <w:name w:val="annotation subject"/>
    <w:basedOn w:val="5"/>
    <w:next w:val="5"/>
    <w:link w:val="26"/>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qFormat/>
    <w:uiPriority w:val="99"/>
    <w:rPr>
      <w:color w:val="0000FF"/>
      <w:spacing w:val="0"/>
      <w:w w:val="100"/>
      <w:szCs w:val="21"/>
      <w:u w:val="single"/>
    </w:rPr>
  </w:style>
  <w:style w:type="character" w:styleId="17">
    <w:name w:val="annotation reference"/>
    <w:basedOn w:val="14"/>
    <w:semiHidden/>
    <w:unhideWhenUsed/>
    <w:qFormat/>
    <w:uiPriority w:val="99"/>
    <w:rPr>
      <w:sz w:val="21"/>
      <w:szCs w:val="21"/>
    </w:rPr>
  </w:style>
  <w:style w:type="paragraph" w:styleId="18">
    <w:name w:val="List Paragraph"/>
    <w:basedOn w:val="1"/>
    <w:qFormat/>
    <w:uiPriority w:val="34"/>
    <w:pPr>
      <w:ind w:firstLine="420" w:firstLineChars="200"/>
    </w:pPr>
  </w:style>
  <w:style w:type="character" w:customStyle="1" w:styleId="19">
    <w:name w:val="页眉 字符"/>
    <w:basedOn w:val="14"/>
    <w:link w:val="9"/>
    <w:qFormat/>
    <w:uiPriority w:val="99"/>
    <w:rPr>
      <w:sz w:val="18"/>
      <w:szCs w:val="18"/>
    </w:rPr>
  </w:style>
  <w:style w:type="character" w:customStyle="1" w:styleId="20">
    <w:name w:val="页脚 字符"/>
    <w:basedOn w:val="14"/>
    <w:link w:val="8"/>
    <w:qFormat/>
    <w:uiPriority w:val="99"/>
    <w:rPr>
      <w:sz w:val="18"/>
      <w:szCs w:val="18"/>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段"/>
    <w:link w:val="2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
    <w:name w:val="段 Char"/>
    <w:link w:val="22"/>
    <w:qFormat/>
    <w:uiPriority w:val="0"/>
    <w:rPr>
      <w:rFonts w:ascii="宋体" w:hAnsi="Times New Roman" w:eastAsia="宋体" w:cs="Times New Roman"/>
      <w:kern w:val="0"/>
      <w:szCs w:val="20"/>
    </w:rPr>
  </w:style>
  <w:style w:type="character" w:customStyle="1" w:styleId="24">
    <w:name w:val="批注框文本 字符"/>
    <w:basedOn w:val="14"/>
    <w:link w:val="7"/>
    <w:semiHidden/>
    <w:qFormat/>
    <w:uiPriority w:val="99"/>
    <w:rPr>
      <w:sz w:val="18"/>
      <w:szCs w:val="18"/>
    </w:rPr>
  </w:style>
  <w:style w:type="character" w:customStyle="1" w:styleId="25">
    <w:name w:val="批注文字 字符"/>
    <w:basedOn w:val="14"/>
    <w:link w:val="5"/>
    <w:semiHidden/>
    <w:qFormat/>
    <w:uiPriority w:val="99"/>
    <w:rPr>
      <w:rFonts w:asciiTheme="minorHAnsi" w:hAnsiTheme="minorHAnsi" w:eastAsiaTheme="minorEastAsia" w:cstheme="minorBidi"/>
      <w:kern w:val="2"/>
      <w:sz w:val="21"/>
      <w:szCs w:val="22"/>
    </w:rPr>
  </w:style>
  <w:style w:type="character" w:customStyle="1" w:styleId="26">
    <w:name w:val="批注主题 字符"/>
    <w:basedOn w:val="25"/>
    <w:link w:val="11"/>
    <w:semiHidden/>
    <w:qFormat/>
    <w:uiPriority w:val="99"/>
    <w:rPr>
      <w:rFonts w:asciiTheme="minorHAnsi" w:hAnsiTheme="minorHAnsi" w:eastAsiaTheme="minorEastAsia" w:cstheme="minorBidi"/>
      <w:b/>
      <w:bCs/>
      <w:kern w:val="2"/>
      <w:sz w:val="21"/>
      <w:szCs w:val="22"/>
    </w:rPr>
  </w:style>
  <w:style w:type="paragraph" w:customStyle="1" w:styleId="27">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8">
    <w:name w:val="封面标准英文名称"/>
    <w:basedOn w:val="1"/>
    <w:qFormat/>
    <w:uiPriority w:val="0"/>
    <w:pPr>
      <w:framePr w:w="9639" w:h="6917" w:hRule="exact" w:wrap="around" w:vAnchor="page" w:hAnchor="page" w:xAlign="center" w:y="6408" w:anchorLock="1"/>
      <w:spacing w:before="370" w:line="400" w:lineRule="exact"/>
      <w:jc w:val="center"/>
      <w:textAlignment w:val="center"/>
    </w:pPr>
    <w:rPr>
      <w:rFonts w:eastAsia="黑体"/>
      <w:kern w:val="0"/>
      <w:sz w:val="28"/>
      <w:szCs w:val="28"/>
    </w:rPr>
  </w:style>
  <w:style w:type="paragraph" w:customStyle="1" w:styleId="29">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632</Words>
  <Characters>3605</Characters>
  <Lines>30</Lines>
  <Paragraphs>8</Paragraphs>
  <TotalTime>11</TotalTime>
  <ScaleCrop>false</ScaleCrop>
  <LinksUpToDate>false</LinksUpToDate>
  <CharactersWithSpaces>4229</CharactersWithSpaces>
  <Application>WPS Office_6.2.0.8299_F1E327BC-269C-435d-A152-05C5408002CA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2022-07-01T01:52:00Z</dcterms:created>
  <dc:creator>SIAT Cuixu</dc:creator>
  <cp:lastModifiedBy>卒子</cp:lastModifiedBy>
  <dcterms:modified xsi:type="dcterms:W3CDTF">2023-10-16T14:05:28Z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2052-6.2.0.8299</vt:lpwstr>
  </property>
  <property fmtid="{D5CDD505-2E9C-101B-9397-08002B2CF9AE}" pid="3" name="ICV">
    <vt:lpwstr>7C9EAF5940F8EE97D9AF2065BD333098_43</vt:lpwstr>
  </property>
</Properties>
</file>