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2"/>
          <w:szCs w:val="32"/>
        </w:rPr>
      </w:pPr>
      <w:r>
        <w:rPr>
          <w:rFonts w:hint="eastAsia" w:ascii="黑体" w:hAnsi="黑体" w:eastAsia="黑体" w:cs="黑体"/>
          <w:sz w:val="32"/>
          <w:szCs w:val="32"/>
        </w:rPr>
        <w:t>《全降解镁合金药物洗脱支架体外降解试验方法 第</w:t>
      </w:r>
      <w:r>
        <w:rPr>
          <w:rFonts w:ascii="黑体" w:hAnsi="黑体" w:eastAsia="黑体" w:cs="黑体"/>
          <w:sz w:val="32"/>
          <w:szCs w:val="32"/>
        </w:rPr>
        <w:t>2</w:t>
      </w:r>
      <w:r>
        <w:rPr>
          <w:rFonts w:hint="eastAsia" w:ascii="黑体" w:hAnsi="黑体" w:eastAsia="黑体" w:cs="黑体"/>
          <w:sz w:val="32"/>
          <w:szCs w:val="32"/>
        </w:rPr>
        <w:t>部分：电化学测试》编制说明</w:t>
      </w:r>
    </w:p>
    <w:p>
      <w:pPr>
        <w:pStyle w:val="2"/>
        <w:rPr>
          <w:lang w:eastAsia="zh-CN"/>
        </w:rPr>
      </w:pPr>
      <w:r>
        <w:rPr>
          <w:rFonts w:hint="eastAsia"/>
          <w:lang w:eastAsia="zh-CN"/>
        </w:rPr>
        <w:t>一、工作简况</w:t>
      </w:r>
    </w:p>
    <w:p>
      <w:pPr>
        <w:pStyle w:val="3"/>
        <w:rPr>
          <w:lang w:eastAsia="zh-CN"/>
        </w:rPr>
      </w:pPr>
      <w:r>
        <w:rPr>
          <w:rFonts w:hint="eastAsia"/>
          <w:lang w:eastAsia="zh-CN"/>
        </w:rPr>
        <w:t>1.1 任务来源</w:t>
      </w:r>
    </w:p>
    <w:p>
      <w:pPr>
        <w:ind w:firstLine="420" w:firstLineChars="200"/>
      </w:pPr>
      <w:r>
        <w:rPr>
          <w:rFonts w:hint="eastAsia"/>
        </w:rPr>
        <w:t>全降解镁合金药物洗脱支架（以下简称支架）是以激光雕刻的镁合金管为平台，平台上涂有药物，</w:t>
      </w:r>
      <w:r>
        <w:t>旨在</w:t>
      </w:r>
      <w:r>
        <w:rPr>
          <w:rFonts w:hint="eastAsia"/>
        </w:rPr>
        <w:t>通过介入方法达到</w:t>
      </w:r>
      <w:r>
        <w:t>血管症状性狭窄处短期内提供支撑和抗再狭窄作用，待血管功能恢复后完全降解被人体吸收。其体外降解试验方法用于产品开发及产品控制时了解其基础降解性能</w:t>
      </w:r>
      <w:r>
        <w:rPr>
          <w:rFonts w:hint="eastAsia"/>
        </w:rPr>
        <w:t>。</w:t>
      </w:r>
    </w:p>
    <w:p>
      <w:pPr>
        <w:ind w:firstLine="420" w:firstLineChars="200"/>
      </w:pPr>
      <w:r>
        <w:rPr>
          <w:rFonts w:hint="eastAsia"/>
        </w:rPr>
        <w:t>本标准的制定计划由上海美港沣沅医疗器械有限公司提出，经中国生物材料学会批准，正式列入中国生物材料学会团体标准修订计划。</w:t>
      </w:r>
    </w:p>
    <w:p>
      <w:pPr>
        <w:pStyle w:val="3"/>
        <w:rPr>
          <w:lang w:eastAsia="zh-CN"/>
        </w:rPr>
      </w:pPr>
      <w:r>
        <w:rPr>
          <w:rFonts w:hint="eastAsia"/>
          <w:lang w:eastAsia="zh-CN"/>
        </w:rPr>
        <w:t>1.2 起草工作组单位</w:t>
      </w:r>
    </w:p>
    <w:p>
      <w:r>
        <w:rPr>
          <w:rFonts w:hint="eastAsia"/>
        </w:rPr>
        <w:t>1</w:t>
      </w:r>
      <w:r>
        <w:t xml:space="preserve">.2.1 </w:t>
      </w:r>
      <w:r>
        <w:rPr>
          <w:rFonts w:hint="eastAsia"/>
        </w:rPr>
        <w:t>上海美港沣沅医疗器械有限公司</w:t>
      </w:r>
    </w:p>
    <w:p>
      <w:pPr>
        <w:snapToGrid w:val="0"/>
        <w:spacing w:line="300" w:lineRule="auto"/>
        <w:ind w:firstLine="420" w:firstLineChars="200"/>
        <w:jc w:val="left"/>
        <w:rPr>
          <w:rFonts w:asciiTheme="minorEastAsia" w:hAnsiTheme="minorEastAsia"/>
        </w:rPr>
      </w:pPr>
      <w:r>
        <w:rPr>
          <w:rFonts w:hint="eastAsia" w:asciiTheme="minorEastAsia" w:hAnsiTheme="minorEastAsia"/>
        </w:rPr>
        <w:t>上海美港沣沅医疗器械有限公司，成立于2015年6月，注册资金8000万元，是一家由国内资深专家学者、海归人员、国内外投资企业共同成立，主要从事冠脉介入医疗器械的研发、生产、销售，是一家高起点、高新技术的新兴企业。公司与多所国内知名医疗科研机构及著名学者建立了研发联盟，拥有国内、国际多项自主研发的专利技术。针对冠脉介入的临床需求，首批开发的创新产品（国际上也仅有一家完成研发），可被组织完全吸收，无残留，对组织无任何毒副作用，可在同一病变处多次介入干预，显著减少病人痛苦，将填补国内空白，具有巨大的发展空间。公司致力于可降解金属材料的研发，并积极探索其他临床应用，做卓越的医疗产品，为广大患者造福。公司拟首期按照三类医疗器械生产要求建设1000平方米生产、研发和实验基地，含万级洁净生产车间、理化实验室、生化实验室，并配置世界先进的实验、生产、检测设备，具备高端研发和生产功能。</w:t>
      </w:r>
    </w:p>
    <w:p>
      <w:r>
        <w:rPr>
          <w:rFonts w:hint="eastAsia"/>
        </w:rPr>
        <w:t>1</w:t>
      </w:r>
      <w:r>
        <w:t>.2.2 郑州大学</w:t>
      </w:r>
    </w:p>
    <w:p>
      <w:pPr>
        <w:ind w:firstLine="420" w:firstLineChars="200"/>
        <w:rPr>
          <w:rFonts w:asciiTheme="minorEastAsia" w:hAnsiTheme="minorEastAsia"/>
        </w:rPr>
      </w:pPr>
      <w:r>
        <w:rPr>
          <w:rFonts w:hint="eastAsia" w:asciiTheme="minorEastAsia" w:hAnsiTheme="minorEastAsia"/>
        </w:rPr>
        <w:t>郑州大学是国家“211工程”重点建设高校、一流大学建设高校和“部省合建”高校。站在新的历史起点上，学校确立了综合性研究型的办学定位，提出了一流大学建设“三步走”发展战略，力争到本世纪中叶建成世界一流综合性研究型大学。学校设有哲学、经济学、法学、教育学、文学、历史学、理学、工学、农学、医学、管理学、艺术学12大学科门类，各学科门类均衡发展；有临床医学、材料科学与工程、化学3个一流建设学科；有凝聚态物理、材料加工工程、中国古代史、有机化学、化学工艺、病理学与病理生理学。河南省先进镁合金重点实验室依托郑州大学材料加工工程国家级重点学科，紧紧围绕“镁合金冶炼、镁合金材料、镁合金高端制品”一体化完整产业链体系,部署“镁冶炼(冶金)</w:t>
      </w:r>
      <w:r>
        <w:rPr>
          <w:rFonts w:hint="eastAsia" w:asciiTheme="minorEastAsia" w:hAnsiTheme="minorEastAsia"/>
          <w:lang w:eastAsia="zh-CN"/>
        </w:rPr>
        <w:t>，</w:t>
      </w:r>
      <w:r>
        <w:rPr>
          <w:rFonts w:hint="eastAsia" w:asciiTheme="minorEastAsia" w:hAnsiTheme="minorEastAsia"/>
        </w:rPr>
        <w:t>镁合金(材料)</w:t>
      </w:r>
      <w:r>
        <w:rPr>
          <w:rFonts w:hint="eastAsia" w:asciiTheme="minorEastAsia" w:hAnsiTheme="minorEastAsia"/>
          <w:lang w:eastAsia="zh-CN"/>
        </w:rPr>
        <w:t>，</w:t>
      </w:r>
      <w:r>
        <w:rPr>
          <w:rFonts w:hint="eastAsia" w:asciiTheme="minorEastAsia" w:hAnsiTheme="minorEastAsia"/>
        </w:rPr>
        <w:t>镁产品(制品)”一体化驱动创新链,重点解决镁合金易腐蚀、低塑性、难加工、高端产品少的关键共性技术问题开展应用和应用基础研究。在生物医用镁合金方向潜心研究多年，主要研究内容包括设计新型生物镁合金，开展镁合金特种加工技术以及镁合金表面涂层制备技术；进行生物镁合金生物相容性以及生物镁合金器件的结构优化设计和加工、医用镁合金器件的产业化。实验室先后承担了国家重点研计划、国家“973”、国家“863”、国家科技支撑计划、国家自然科学基金重点项目、教育部博士点和先进发展基金、河南省重大科技专项、重大公益项目、省杰出人才创新基金等50余项、获省部级以上科技奖励18项，发表学术论文350余篇，申请国家发明专利60余件，获授权47件。</w:t>
      </w:r>
    </w:p>
    <w:p>
      <w:r>
        <w:rPr>
          <w:rFonts w:hint="eastAsia"/>
        </w:rPr>
        <w:t>1</w:t>
      </w:r>
      <w:r>
        <w:t xml:space="preserve">.2.3 </w:t>
      </w:r>
      <w:r>
        <w:rPr>
          <w:rFonts w:hint="eastAsia"/>
        </w:rPr>
        <w:t>中国食品药品检定研究院</w:t>
      </w:r>
    </w:p>
    <w:p>
      <w:pPr>
        <w:ind w:firstLine="420" w:firstLineChars="200"/>
      </w:pPr>
      <w:r>
        <w:rPr>
          <w:rFonts w:hint="eastAsia"/>
        </w:rPr>
        <w:t>中国食品药品检定研究院（以下简称中检院）的前身是1950年成立的中央人民政府卫生部药物食品检验所和生物制品检定所。1961年，两所合并为卫生部药品生物制品检定所。1998年，由卫生部成建制划转为国家药品监督管理局直属事业单位。2010年，经中央编办批准更名为中国食品药品检定研究院，加挂国家食品药品监督管理局医疗器械标准管理中心的牌子，对外使用“中国药品检验总所”的名称。2018年，根据中央编办关于国家药品监督管理局所属事业单位机构编制的批复，中检院（国家药品监督管理局医疗器械标准管理中心，中国药品检验总所）为国家药品监督管理局所属公益二类事业单位。中检院是国家检验药品生物制品质量的法定机构和最高技术仲裁机构，主要承担食品、药品、医疗器械、化妆品及有关药用辅料、包装材料与容器（以下统称为食品药品）的检验检测工作，组织开展药品、医疗器械、化妆品抽验和质量分析工作，负责相关复验、技术仲裁，组织开展进口药品注册检验以及上市后有关数据收集分析等工作；承担药品、医疗器械、化妆品质量标准、技术规范、技术要求、检验检测方法的制修订以及技术复核工作，组织开展检验检测新技术新方法新标准研究，承担相关产品严重不良反应、严重不良事件原因的实验研究工作；负责医疗器械标准管理相关工作；承担生物制品批签发相关工作；承担化妆品安全技术评价工作；组织开展有关国家标准物质的规划、计划、研究、制备、标定、分发和管理工作；负责生产用菌毒种、细胞株的检定工作，承担医用标准菌毒种、细胞株的收集、鉴定、保存、分发和管理工作；承担实验动物饲育、保种、供应和实验动物及相关产品的质量检测工作；承担食品药品检验检测机构实验室间比对以及能力验证、考核与评价等技术工作；负责研究生教育培养工作，组织开展对食品药品相关单位质量检验检测工作的培训和技术指导。</w:t>
      </w:r>
    </w:p>
    <w:p>
      <w:r>
        <w:rPr>
          <w:rFonts w:hint="eastAsia"/>
        </w:rPr>
        <w:t>1</w:t>
      </w:r>
      <w:r>
        <w:t xml:space="preserve">.2.4 </w:t>
      </w:r>
      <w:r>
        <w:rPr>
          <w:rFonts w:hint="eastAsia"/>
        </w:rPr>
        <w:t>北京大学</w:t>
      </w:r>
    </w:p>
    <w:p>
      <w:pPr>
        <w:snapToGrid w:val="0"/>
        <w:spacing w:line="300" w:lineRule="auto"/>
        <w:ind w:firstLine="420" w:firstLineChars="200"/>
        <w:jc w:val="left"/>
        <w:rPr>
          <w:rFonts w:hAnsi="宋体"/>
        </w:rPr>
      </w:pPr>
      <w:r>
        <w:rPr>
          <w:rFonts w:hint="eastAsia"/>
        </w:rPr>
        <w:t>北京大学是中华人民共和国教育部直属的全国重点大学，位列“双一流”、“211工程”、“985工程”高校。北京大学拥有31个国家级研究机构、93个省部级研究机构和19个校地校企共建机构。学校现教职工16073人，29617名各类在校学生。现有199个博士点、221个硕士点、100个本科专业，以及覆盖139个专业的35个博士后流动站。北京大学拥有的教授、博士生导师、中科院院士及国家重点学科和国家重点实验室的数量均居全国高校之首。由郑玉峰教授自2004年发起和领导的北京大学工程学院生物医学材料与设备实验室是一个跨学科的研究小组，在生物医学材料及其在牙科、骨科和介入治疗领域的应用方面有着深入且广泛的研究。</w:t>
      </w:r>
    </w:p>
    <w:p>
      <w:r>
        <w:rPr>
          <w:rFonts w:hint="eastAsia"/>
        </w:rPr>
        <w:t>1</w:t>
      </w:r>
      <w:r>
        <w:t xml:space="preserve">.2.5 </w:t>
      </w:r>
      <w:r>
        <w:rPr>
          <w:rFonts w:hint="eastAsia"/>
        </w:rPr>
        <w:t>中国科学院金属研究所</w:t>
      </w:r>
    </w:p>
    <w:p>
      <w:pPr>
        <w:ind w:firstLine="420" w:firstLineChars="200"/>
      </w:pPr>
      <w:r>
        <w:rPr>
          <w:rFonts w:hint="eastAsia"/>
        </w:rPr>
        <w:t>中国科学院金属研究所创建于1953年；1982年，成立中国科学院金属腐蚀与防护研究所；1999年，原金属研究所与原金属腐蚀与防护研究所整合，成立新的“中国科学院金属研究所”，进入中国科学院知识创新工程“东北高性能材料研究发展基地”。中国科学院金属研究所主要学科方向和研究领域包括纳米尺度下超高性能材料的设计与制备、耐苛刻环境超级结构材料、金属材料失效机理与防护技术、材料制备加工技术、基于计算的材料与工艺设计、新型能源材料与生物材料等。金属研究所已累计取得科技成果奖400余项，其中获得国家级奖项90余项，包括国家科技进步特等奖、国家自然科学一等奖、国家技术发明一等奖和国家科技进步一等奖等奖项。金属研究所共有工作人员1800余人；共有仪器设备109台套，总价值达1.26亿元；建有1个国家重点实验室，1个国家（联合）实验室，2个国家工程中心；共有在学研究生1004人（其中硕士生378人、博士生626人）。受中国金属学会、中国材料研究学会、国家自然科学基金委员会、中国腐蚀与防护学会等委托，金属研究所编辑出版《金属学报》（中、英文版）、《材料科学与技术》（英文版）、《材料研究学报》（中文版）、《中国腐蚀与防护学报》、《腐蚀学报》（英文版）等6种学术刊物。</w:t>
      </w:r>
    </w:p>
    <w:p>
      <w:pPr>
        <w:pStyle w:val="3"/>
        <w:rPr>
          <w:lang w:eastAsia="zh-CN"/>
        </w:rPr>
      </w:pPr>
      <w:r>
        <w:rPr>
          <w:rFonts w:hint="eastAsia"/>
          <w:lang w:eastAsia="zh-CN"/>
        </w:rPr>
        <w:t>1.3 主要工作过程</w:t>
      </w:r>
    </w:p>
    <w:p>
      <w:pPr>
        <w:ind w:firstLine="420" w:firstLineChars="200"/>
      </w:pPr>
      <w:r>
        <w:rPr>
          <w:rFonts w:hint="eastAsia"/>
        </w:rPr>
        <w:t>1.3.1  2019年7月23日，由上海美港沣沅医疗器械有限公司提出本标准的制定及立项需求。2019年9月19日经中国生物材料学会标委会评审一致通过同意立项申请。上海美港沣沅医疗器械有限公司承担本标准的主要起草任务，并联合郑州大学、</w:t>
      </w:r>
      <w:r>
        <w:rPr>
          <w:rFonts w:hint="eastAsia" w:ascii="宋体" w:hAnsi="宋体" w:eastAsia="宋体" w:cs="宋体"/>
        </w:rPr>
        <w:t>中国食品药品检定研究院、北京大学、中国科学院金属研究所</w:t>
      </w:r>
      <w:r>
        <w:rPr>
          <w:rFonts w:hint="eastAsia"/>
        </w:rPr>
        <w:t>成立标准起草组开始标准起草工作，开展标准调研、资料收集、标准草案稿编写。</w:t>
      </w:r>
    </w:p>
    <w:p>
      <w:pPr>
        <w:ind w:firstLine="420" w:firstLineChars="200"/>
      </w:pPr>
      <w:r>
        <w:rPr>
          <w:rFonts w:hint="eastAsia"/>
        </w:rPr>
        <w:t>1.3.2  2019年11月，标准起草组在调研资料的基础上确定了标准的主要内容，形成标准草案。</w:t>
      </w:r>
    </w:p>
    <w:p>
      <w:pPr>
        <w:ind w:firstLine="420" w:firstLineChars="200"/>
      </w:pPr>
      <w:r>
        <w:rPr>
          <w:rFonts w:hint="eastAsia"/>
        </w:rPr>
        <w:t>1</w:t>
      </w:r>
      <w:r>
        <w:t>.3.3  2021年</w:t>
      </w:r>
      <w:r>
        <w:rPr>
          <w:rFonts w:hint="eastAsia"/>
        </w:rPr>
        <w:t>1</w:t>
      </w:r>
      <w:r>
        <w:t>2月完成标准验证工作并编写完成征求意见材料。</w:t>
      </w:r>
    </w:p>
    <w:p>
      <w:pPr>
        <w:pStyle w:val="3"/>
        <w:rPr>
          <w:lang w:eastAsia="zh-CN"/>
        </w:rPr>
      </w:pPr>
      <w:r>
        <w:rPr>
          <w:rFonts w:hint="eastAsia"/>
          <w:lang w:eastAsia="zh-CN"/>
        </w:rPr>
        <w:t>1.4 团体标准主要起草人及其所做的工作</w:t>
      </w:r>
    </w:p>
    <w:p>
      <w:pPr>
        <w:ind w:firstLine="420" w:firstLineChars="200"/>
      </w:pPr>
      <w:r>
        <w:rPr>
          <w:rFonts w:hint="eastAsia"/>
        </w:rPr>
        <w:t>本标准的主要起草人上海美港沣沅医疗器械有限公司包括万子义为标准制定小组组长，负责标准起草小组会议召集，工作计划制定，调研工作组织实施，综合研究及具体任务分解，标准的起草编写、资料收集整理工作；、主要起草人郑州大学朱世杰，现任郑州大学材料科学与工程学院教授，负责检测、数据分析等标准验证修改工作，中国食品药品检定研究院柯林楠、北京大学王配、奚廷斐、中国科学院金属研究所杨柯负责标准修改等工作。</w:t>
      </w:r>
    </w:p>
    <w:p>
      <w:pPr>
        <w:pStyle w:val="2"/>
        <w:rPr>
          <w:lang w:eastAsia="zh-CN"/>
        </w:rPr>
      </w:pPr>
      <w:r>
        <w:rPr>
          <w:rFonts w:hint="eastAsia"/>
          <w:lang w:eastAsia="zh-CN"/>
        </w:rPr>
        <w:t>二、确定学会团体标准主要技术内容（如技术指标、参数等）的论据（包括试验、统计数据）。</w:t>
      </w:r>
    </w:p>
    <w:p>
      <w:pPr>
        <w:pStyle w:val="3"/>
        <w:rPr>
          <w:lang w:eastAsia="zh-CN"/>
        </w:rPr>
      </w:pPr>
      <w:r>
        <w:rPr>
          <w:rFonts w:hint="eastAsia"/>
          <w:lang w:eastAsia="zh-CN"/>
        </w:rPr>
        <w:t>1. 标准结构</w:t>
      </w:r>
    </w:p>
    <w:p>
      <w:pPr>
        <w:ind w:firstLine="420" w:firstLineChars="200"/>
      </w:pPr>
      <w:r>
        <w:rPr>
          <w:rFonts w:hint="eastAsia"/>
        </w:rPr>
        <w:t>主要包括前言、范围、规范性引用文件、方法提要、试剂、试验装置、试验步骤、结果计算和资料性附录A等几个部分。</w:t>
      </w:r>
    </w:p>
    <w:p>
      <w:pPr>
        <w:pStyle w:val="3"/>
        <w:rPr>
          <w:lang w:eastAsia="zh-CN"/>
        </w:rPr>
      </w:pPr>
      <w:r>
        <w:rPr>
          <w:rFonts w:hint="eastAsia"/>
          <w:lang w:eastAsia="zh-CN"/>
        </w:rPr>
        <w:t>2. 主要内容</w:t>
      </w:r>
    </w:p>
    <w:p>
      <w:pPr>
        <w:ind w:firstLine="420" w:firstLineChars="200"/>
      </w:pPr>
      <w:r>
        <w:rPr>
          <w:rFonts w:hint="eastAsia"/>
        </w:rPr>
        <w:t>本标准规定的主要内容有：电化学装置、测试介质、测试条件与方法等。</w:t>
      </w:r>
    </w:p>
    <w:p>
      <w:pPr>
        <w:pStyle w:val="4"/>
        <w:rPr>
          <w:lang w:eastAsia="zh-CN"/>
        </w:rPr>
      </w:pPr>
      <w:r>
        <w:rPr>
          <w:rFonts w:hint="eastAsia"/>
          <w:lang w:eastAsia="zh-CN"/>
        </w:rPr>
        <w:t>2.1 电化学测试装置</w:t>
      </w:r>
    </w:p>
    <w:p>
      <w:pPr>
        <w:ind w:firstLine="420" w:firstLineChars="200"/>
      </w:pPr>
      <w:r>
        <w:rPr>
          <w:rFonts w:hint="eastAsia"/>
        </w:rPr>
        <w:t>电化学测试装置是对支架进行电化学试验标准化的重要部分，标准中所列装置图有利于标准使用者直观地理解电化学试验操作。</w:t>
      </w:r>
    </w:p>
    <w:p>
      <w:pPr>
        <w:pStyle w:val="4"/>
        <w:rPr>
          <w:lang w:eastAsia="zh-CN"/>
        </w:rPr>
      </w:pPr>
      <w:r>
        <w:rPr>
          <w:rFonts w:hint="eastAsia"/>
          <w:lang w:eastAsia="zh-CN"/>
        </w:rPr>
        <w:t>2.2 电化学测试介质与条件</w:t>
      </w:r>
    </w:p>
    <w:p>
      <w:pPr>
        <w:ind w:firstLine="420" w:firstLineChars="200"/>
      </w:pPr>
      <w:r>
        <w:rPr>
          <w:rFonts w:hint="eastAsia"/>
        </w:rPr>
        <w:t>支架最终使用环境人体心脏冠状动脉。考虑实际使用环境，电化学测试介质采用PH7.4 PBS溶液、测试温度为（37±1）℃。</w:t>
      </w:r>
    </w:p>
    <w:p>
      <w:pPr>
        <w:pStyle w:val="4"/>
        <w:rPr>
          <w:lang w:eastAsia="zh-CN"/>
        </w:rPr>
      </w:pPr>
      <w:r>
        <w:rPr>
          <w:rFonts w:hint="eastAsia"/>
          <w:lang w:eastAsia="zh-CN"/>
        </w:rPr>
        <w:t>2.</w:t>
      </w:r>
      <w:r>
        <w:rPr>
          <w:lang w:eastAsia="zh-CN"/>
        </w:rPr>
        <w:t>3</w:t>
      </w:r>
      <w:r>
        <w:rPr>
          <w:rFonts w:hint="eastAsia"/>
          <w:lang w:eastAsia="zh-CN"/>
        </w:rPr>
        <w:t>电化学测试参数及支架体外降解速率计算</w:t>
      </w:r>
    </w:p>
    <w:p>
      <w:pPr>
        <w:ind w:firstLine="420" w:firstLineChars="200"/>
      </w:pPr>
      <w:r>
        <w:rPr>
          <w:rFonts w:hint="eastAsia"/>
        </w:rPr>
        <w:t>电化学测试参数通过检索已发表文献获得，标准写明了推荐使用参数，不做硬性规定。在电化学测试软件中录入相关参数(样品密度，暴露面积等</w:t>
      </w:r>
      <w:r>
        <w:t>)</w:t>
      </w:r>
      <w:r>
        <w:rPr>
          <w:rFonts w:hint="eastAsia"/>
        </w:rPr>
        <w:t>，进行结果的相关数据分析。</w:t>
      </w:r>
    </w:p>
    <w:p>
      <w:pPr>
        <w:pStyle w:val="2"/>
        <w:rPr>
          <w:lang w:eastAsia="zh-CN"/>
        </w:rPr>
      </w:pPr>
      <w:r>
        <w:rPr>
          <w:rFonts w:hint="eastAsia"/>
          <w:lang w:eastAsia="zh-CN"/>
        </w:rPr>
        <w:t>三、主要试验（验证）的分析、综述报告，技术经济论证，预期的经济效果</w:t>
      </w:r>
    </w:p>
    <w:p>
      <w:r>
        <w:rPr>
          <w:rFonts w:hint="eastAsia"/>
        </w:rPr>
        <w:t>3</w:t>
      </w:r>
      <w:r>
        <w:t>.1主要试验（验证）的分析和综述报告</w:t>
      </w:r>
    </w:p>
    <w:p>
      <w:pPr>
        <w:ind w:firstLine="420" w:firstLineChars="200"/>
      </w:pPr>
      <w:r>
        <w:rPr>
          <w:rFonts w:hint="eastAsia"/>
        </w:rPr>
        <w:t>本标准主要试验（验证）的分析为全降解镁合金药物洗脱支架在温度为</w:t>
      </w:r>
      <w:r>
        <w:rPr>
          <w:rFonts w:ascii="Times New Roman" w:hAnsi="Times New Roman" w:cs="Times New Roman"/>
        </w:rPr>
        <w:t>（37±1）℃, pH7.4 PBS</w:t>
      </w:r>
      <w:r>
        <w:rPr>
          <w:rFonts w:hint="eastAsia"/>
        </w:rPr>
        <w:t>溶液中，采用电化学方法进行测试</w:t>
      </w:r>
    </w:p>
    <w:p>
      <w:pPr>
        <w:ind w:firstLine="420" w:firstLineChars="200"/>
      </w:pPr>
      <w:r>
        <w:rPr>
          <w:rFonts w:hint="eastAsia"/>
        </w:rPr>
        <w:t>本试验所涉及的仪器设备包括如图1所示</w:t>
      </w:r>
    </w:p>
    <w:p>
      <w:pPr>
        <w:ind w:firstLine="420" w:firstLineChars="200"/>
        <w:jc w:val="center"/>
      </w:pPr>
      <w:r>
        <w:drawing>
          <wp:inline distT="0" distB="0" distL="0" distR="0">
            <wp:extent cx="5274310" cy="3879850"/>
            <wp:effectExtent l="0" t="0" r="2540" b="6350"/>
            <wp:docPr id="23" name="图片 23" descr="C:\Users\wangp\Desktop\电化学装置全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wangp\Desktop\电化学装置全图.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3879850"/>
                    </a:xfrm>
                    <a:prstGeom prst="rect">
                      <a:avLst/>
                    </a:prstGeom>
                    <a:noFill/>
                    <a:ln>
                      <a:noFill/>
                    </a:ln>
                  </pic:spPr>
                </pic:pic>
              </a:graphicData>
            </a:graphic>
          </wp:inline>
        </w:drawing>
      </w:r>
    </w:p>
    <w:p>
      <w:pPr>
        <w:spacing w:line="360" w:lineRule="auto"/>
        <w:jc w:val="center"/>
        <w:rPr>
          <w:rFonts w:cs="黑体" w:asciiTheme="minorEastAsia" w:hAnsiTheme="minorEastAsia"/>
          <w:szCs w:val="21"/>
        </w:rPr>
      </w:pPr>
      <w:r>
        <w:rPr>
          <w:rFonts w:cs="黑体" w:asciiTheme="minorEastAsia" w:hAnsiTheme="minorEastAsia"/>
          <w:szCs w:val="21"/>
        </w:rPr>
        <w:t>图</w:t>
      </w:r>
      <w:r>
        <w:rPr>
          <w:rFonts w:hint="eastAsia" w:cs="黑体" w:asciiTheme="minorEastAsia" w:hAnsiTheme="minorEastAsia"/>
          <w:szCs w:val="21"/>
        </w:rPr>
        <w:t>1</w:t>
      </w:r>
      <w:r>
        <w:rPr>
          <w:rFonts w:cs="黑体" w:asciiTheme="minorEastAsia" w:hAnsiTheme="minorEastAsia"/>
          <w:szCs w:val="21"/>
        </w:rPr>
        <w:t xml:space="preserve"> 电化学试验装置示意图</w:t>
      </w:r>
    </w:p>
    <w:p>
      <w:pPr>
        <w:spacing w:line="360" w:lineRule="auto"/>
        <w:rPr>
          <w:rFonts w:ascii="黑体" w:hAnsi="黑体" w:eastAsia="黑体" w:cs="黑体"/>
          <w:sz w:val="18"/>
          <w:szCs w:val="18"/>
        </w:rPr>
      </w:pPr>
      <w:r>
        <w:rPr>
          <w:rFonts w:hint="eastAsia" w:ascii="黑体" w:hAnsi="黑体" w:eastAsia="黑体" w:cs="黑体"/>
          <w:sz w:val="18"/>
          <w:szCs w:val="18"/>
        </w:rPr>
        <w:t>注：</w:t>
      </w:r>
    </w:p>
    <w:p>
      <w:pPr>
        <w:spacing w:line="360" w:lineRule="auto"/>
        <w:rPr>
          <w:rFonts w:ascii="宋体" w:hAnsi="宋体" w:eastAsia="宋体" w:cs="宋体"/>
          <w:sz w:val="18"/>
          <w:szCs w:val="18"/>
        </w:rPr>
      </w:pPr>
      <w:r>
        <w:rPr>
          <w:rFonts w:hint="eastAsia" w:ascii="宋体" w:hAnsi="宋体" w:eastAsia="宋体" w:cs="宋体"/>
          <w:sz w:val="18"/>
          <w:szCs w:val="18"/>
        </w:rPr>
        <w:t>1 ——进气孔</w:t>
      </w:r>
    </w:p>
    <w:p>
      <w:pPr>
        <w:spacing w:line="360" w:lineRule="auto"/>
        <w:rPr>
          <w:rFonts w:ascii="宋体" w:hAnsi="宋体" w:eastAsia="宋体" w:cs="宋体"/>
          <w:sz w:val="18"/>
          <w:szCs w:val="18"/>
        </w:rPr>
      </w:pPr>
      <w:r>
        <w:rPr>
          <w:rFonts w:hint="eastAsia" w:ascii="宋体" w:hAnsi="宋体" w:eastAsia="宋体" w:cs="宋体"/>
          <w:sz w:val="18"/>
          <w:szCs w:val="18"/>
        </w:rPr>
        <w:t>2 ——出气孔</w:t>
      </w:r>
    </w:p>
    <w:p>
      <w:pPr>
        <w:spacing w:line="360" w:lineRule="auto"/>
        <w:rPr>
          <w:rFonts w:ascii="宋体" w:hAnsi="宋体" w:eastAsia="宋体" w:cs="宋体"/>
          <w:sz w:val="18"/>
          <w:szCs w:val="18"/>
        </w:rPr>
      </w:pPr>
      <w:r>
        <w:rPr>
          <w:rFonts w:hint="eastAsia" w:ascii="宋体" w:hAnsi="宋体" w:eastAsia="宋体" w:cs="宋体"/>
          <w:sz w:val="18"/>
          <w:szCs w:val="18"/>
        </w:rPr>
        <w:t>3 ——容器盖子</w:t>
      </w:r>
    </w:p>
    <w:p>
      <w:pPr>
        <w:spacing w:line="360" w:lineRule="auto"/>
        <w:rPr>
          <w:rFonts w:ascii="宋体" w:hAnsi="宋体" w:eastAsia="宋体" w:cs="宋体"/>
          <w:sz w:val="18"/>
          <w:szCs w:val="18"/>
        </w:rPr>
      </w:pPr>
      <w:r>
        <w:rPr>
          <w:rFonts w:hint="eastAsia" w:ascii="宋体" w:hAnsi="宋体" w:eastAsia="宋体" w:cs="宋体"/>
          <w:sz w:val="18"/>
          <w:szCs w:val="18"/>
        </w:rPr>
        <w:t>4 ——试验容器</w:t>
      </w:r>
    </w:p>
    <w:p>
      <w:pPr>
        <w:spacing w:line="360" w:lineRule="auto"/>
        <w:rPr>
          <w:rFonts w:ascii="宋体" w:hAnsi="宋体" w:eastAsia="宋体" w:cs="宋体"/>
          <w:sz w:val="18"/>
          <w:szCs w:val="18"/>
        </w:rPr>
      </w:pPr>
      <w:r>
        <w:rPr>
          <w:rFonts w:hint="eastAsia" w:ascii="宋体" w:hAnsi="宋体" w:eastAsia="宋体" w:cs="宋体"/>
          <w:sz w:val="18"/>
          <w:szCs w:val="18"/>
        </w:rPr>
        <w:t>5 ——铂电极</w:t>
      </w:r>
    </w:p>
    <w:p>
      <w:pPr>
        <w:spacing w:line="360" w:lineRule="auto"/>
        <w:rPr>
          <w:rFonts w:ascii="宋体" w:hAnsi="宋体" w:eastAsia="宋体" w:cs="宋体"/>
          <w:sz w:val="18"/>
          <w:szCs w:val="18"/>
        </w:rPr>
      </w:pPr>
      <w:r>
        <w:rPr>
          <w:rFonts w:hint="eastAsia" w:ascii="宋体" w:hAnsi="宋体" w:eastAsia="宋体" w:cs="宋体"/>
          <w:sz w:val="18"/>
          <w:szCs w:val="18"/>
        </w:rPr>
        <w:t>6 ——盐桥</w:t>
      </w:r>
    </w:p>
    <w:p>
      <w:pPr>
        <w:spacing w:line="360" w:lineRule="auto"/>
        <w:rPr>
          <w:rFonts w:ascii="宋体" w:hAnsi="宋体" w:eastAsia="宋体" w:cs="宋体"/>
          <w:sz w:val="18"/>
          <w:szCs w:val="18"/>
        </w:rPr>
      </w:pPr>
      <w:r>
        <w:rPr>
          <w:rFonts w:hint="eastAsia" w:ascii="宋体" w:hAnsi="宋体" w:eastAsia="宋体" w:cs="宋体"/>
          <w:sz w:val="18"/>
          <w:szCs w:val="18"/>
        </w:rPr>
        <w:t>7 ——甘汞电极或Ag/AgCl电极</w:t>
      </w:r>
    </w:p>
    <w:p>
      <w:pPr>
        <w:spacing w:line="360" w:lineRule="auto"/>
        <w:rPr>
          <w:rFonts w:ascii="宋体" w:hAnsi="宋体" w:eastAsia="宋体" w:cs="宋体"/>
          <w:sz w:val="18"/>
          <w:szCs w:val="18"/>
        </w:rPr>
      </w:pPr>
      <w:r>
        <w:rPr>
          <w:rFonts w:hint="eastAsia" w:ascii="宋体" w:hAnsi="宋体" w:eastAsia="宋体" w:cs="宋体"/>
          <w:sz w:val="18"/>
          <w:szCs w:val="18"/>
        </w:rPr>
        <w:t>8 ——支架试样</w:t>
      </w:r>
    </w:p>
    <w:p>
      <w:r>
        <w:rPr>
          <w:rFonts w:hint="eastAsia" w:ascii="宋体" w:hAnsi="宋体" w:eastAsia="宋体" w:cs="宋体"/>
          <w:sz w:val="18"/>
          <w:szCs w:val="18"/>
        </w:rPr>
        <w:t>9 ——三电极电化学工作站</w:t>
      </w:r>
    </w:p>
    <w:p>
      <w:pPr>
        <w:ind w:firstLine="420" w:firstLineChars="200"/>
      </w:pPr>
      <w:r>
        <w:rPr>
          <w:rFonts w:hint="eastAsia"/>
        </w:rPr>
        <w:t>试验采用镁合金（Mg-Zn-Y-Nd）及纯镁样品，</w:t>
      </w:r>
      <w:r>
        <w:rPr>
          <w:rFonts w:ascii="Times New Roman" w:hAnsi="宋体"/>
        </w:rPr>
        <w:t>至少应该</w:t>
      </w:r>
      <w:r>
        <w:rPr>
          <w:rFonts w:hint="eastAsia" w:ascii="Times New Roman" w:hAnsi="宋体"/>
        </w:rPr>
        <w:t>设置5个重复样，取其中3个结果较为接近的进行统计学分析</w:t>
      </w:r>
      <w:r>
        <w:rPr>
          <w:rFonts w:hint="eastAsia"/>
        </w:rPr>
        <w:t>。</w:t>
      </w:r>
    </w:p>
    <w:p>
      <w:pPr>
        <w:ind w:firstLine="420" w:firstLineChars="200"/>
      </w:pPr>
    </w:p>
    <w:p>
      <w:pPr>
        <w:ind w:firstLine="420" w:firstLineChars="200"/>
      </w:pPr>
      <w:r>
        <w:t>试验结果如下。</w:t>
      </w:r>
    </w:p>
    <w:p>
      <w:pPr>
        <w:snapToGrid w:val="0"/>
        <w:spacing w:line="300" w:lineRule="auto"/>
        <w:jc w:val="center"/>
      </w:pPr>
      <w:r>
        <mc:AlternateContent>
          <mc:Choice Requires="wps">
            <w:drawing>
              <wp:anchor distT="0" distB="0" distL="114300" distR="114300" simplePos="0" relativeHeight="251662336" behindDoc="0" locked="0" layoutInCell="1" allowOverlap="1">
                <wp:simplePos x="0" y="0"/>
                <wp:positionH relativeFrom="column">
                  <wp:posOffset>967740</wp:posOffset>
                </wp:positionH>
                <wp:positionV relativeFrom="paragraph">
                  <wp:posOffset>247650</wp:posOffset>
                </wp:positionV>
                <wp:extent cx="382905" cy="281305"/>
                <wp:effectExtent l="635" t="1270" r="0" b="317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382905" cy="281305"/>
                        </a:xfrm>
                        <a:prstGeom prst="rect">
                          <a:avLst/>
                        </a:prstGeom>
                        <a:noFill/>
                        <a:ln>
                          <a:noFill/>
                        </a:ln>
                        <a:effectLst/>
                      </wps:spPr>
                      <wps:txbx>
                        <w:txbxContent>
                          <w:p>
                            <w:r>
                              <w:rPr>
                                <w:rFonts w:hint="eastAsia"/>
                              </w:rPr>
                              <w:t>(</w:t>
                            </w:r>
                            <w:r>
                              <w:t>a)</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6.2pt;margin-top:19.5pt;height:22.15pt;width:30.15pt;z-index:251662336;mso-width-relative:page;mso-height-relative:page;" filled="f" stroked="f" coordsize="21600,21600" o:gfxdata="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QnOVNcAAAAJAQAA&#10;DwAAAAAAAAABACAAAAAiAAAAZHJzL2Rvd25yZXYueG1sUEsBAhQAFAAAAAgAh07iQG8wUdEaAgAA&#10;JAQAAA4AAAAAAAAAAQAgAAAAJgEAAGRycy9lMm9Eb2MueG1sUEsFBgAAAAAGAAYAWQEAALIFAAAA&#10;AA==&#10;">
                <v:fill on="f" focussize="0,0"/>
                <v:stroke on="f"/>
                <v:imagedata o:title=""/>
                <o:lock v:ext="edit" aspectratio="f"/>
                <v:textbox>
                  <w:txbxContent>
                    <w:p>
                      <w:r>
                        <w:rPr>
                          <w:rFonts w:hint="eastAsia"/>
                        </w:rPr>
                        <w:t>(</w:t>
                      </w:r>
                      <w:r>
                        <w:t>a)</w:t>
                      </w:r>
                    </w:p>
                  </w:txbxContent>
                </v:textbox>
              </v:shape>
            </w:pict>
          </mc:Fallback>
        </mc:AlternateContent>
      </w:r>
      <w:r>
        <w:t xml:space="preserve"> </w:t>
      </w:r>
      <w:r>
        <w:drawing>
          <wp:inline distT="0" distB="0" distL="0" distR="0">
            <wp:extent cx="4819650" cy="36004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5" cstate="print">
                      <a:extLst>
                        <a:ext uri="{28A0092B-C50C-407E-A947-70E740481C1C}">
                          <a14:useLocalDpi xmlns:a14="http://schemas.microsoft.com/office/drawing/2010/main" val="0"/>
                        </a:ext>
                      </a:extLst>
                    </a:blip>
                    <a:srcRect l="5742" t="7660" r="10544" b="3653"/>
                    <a:stretch>
                      <a:fillRect/>
                    </a:stretch>
                  </pic:blipFill>
                  <pic:spPr>
                    <a:xfrm>
                      <a:off x="0" y="0"/>
                      <a:ext cx="4819650" cy="3600450"/>
                    </a:xfrm>
                    <a:prstGeom prst="rect">
                      <a:avLst/>
                    </a:prstGeom>
                    <a:noFill/>
                    <a:ln>
                      <a:noFill/>
                    </a:ln>
                  </pic:spPr>
                </pic:pic>
              </a:graphicData>
            </a:graphic>
          </wp:inline>
        </w:drawing>
      </w:r>
    </w:p>
    <w:p>
      <w:pPr>
        <w:snapToGrid w:val="0"/>
        <w:spacing w:line="300" w:lineRule="auto"/>
        <w:jc w:val="both"/>
      </w:pPr>
    </w:p>
    <w:p>
      <w:pPr>
        <w:snapToGrid w:val="0"/>
        <w:spacing w:line="300" w:lineRule="auto"/>
        <w:jc w:val="center"/>
      </w:pPr>
      <w:r>
        <w:drawing>
          <wp:inline distT="0" distB="0" distL="0" distR="0">
            <wp:extent cx="4724400" cy="3600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l="6677" t="5824" r="10202" b="4491"/>
                    <a:stretch>
                      <a:fillRect/>
                    </a:stretch>
                  </pic:blipFill>
                  <pic:spPr>
                    <a:xfrm>
                      <a:off x="0" y="0"/>
                      <a:ext cx="4724400" cy="3600450"/>
                    </a:xfrm>
                    <a:prstGeom prst="rect">
                      <a:avLst/>
                    </a:prstGeom>
                    <a:noFill/>
                    <a:ln>
                      <a:noFill/>
                    </a:ln>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column">
                  <wp:posOffset>1203960</wp:posOffset>
                </wp:positionH>
                <wp:positionV relativeFrom="paragraph">
                  <wp:posOffset>192405</wp:posOffset>
                </wp:positionV>
                <wp:extent cx="346710" cy="274955"/>
                <wp:effectExtent l="3810" t="1905" r="1905"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46710" cy="274955"/>
                        </a:xfrm>
                        <a:prstGeom prst="rect">
                          <a:avLst/>
                        </a:prstGeom>
                        <a:noFill/>
                        <a:ln>
                          <a:noFill/>
                        </a:ln>
                        <a:effectLst/>
                      </wps:spPr>
                      <wps:txbx>
                        <w:txbxContent>
                          <w:p>
                            <w:r>
                              <w:rPr>
                                <w:rFonts w:hint="eastAsia"/>
                              </w:rPr>
                              <w:t>(</w:t>
                            </w:r>
                            <w:r>
                              <w:t>b)</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4.8pt;margin-top:15.15pt;height:21.65pt;width:27.3pt;z-index:251659264;mso-width-relative:page;mso-height-relative:page;" filled="f" stroked="f" coordsize="21600,21600" o:gfxdata="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3OyRNYAAAAJAQAA&#10;DwAAAAAAAAABACAAAAAiAAAAZHJzL2Rvd25yZXYueG1sUEsBAhQAFAAAAAgAh07iQL4rD3cbAgAA&#10;IgQAAA4AAAAAAAAAAQAgAAAAJQEAAGRycy9lMm9Eb2MueG1sUEsFBgAAAAAGAAYAWQEAALIFAAAA&#10;AA==&#10;">
                <v:fill on="f" focussize="0,0"/>
                <v:stroke on="f"/>
                <v:imagedata o:title=""/>
                <o:lock v:ext="edit" aspectratio="f"/>
                <v:textbox>
                  <w:txbxContent>
                    <w:p>
                      <w:r>
                        <w:rPr>
                          <w:rFonts w:hint="eastAsia"/>
                        </w:rPr>
                        <w:t>(</w:t>
                      </w:r>
                      <w:r>
                        <w:t>b)</w:t>
                      </w:r>
                    </w:p>
                  </w:txbxContent>
                </v:textbox>
              </v:shape>
            </w:pict>
          </mc:Fallback>
        </mc:AlternateContent>
      </w:r>
    </w:p>
    <w:p>
      <w:pPr>
        <w:snapToGrid w:val="0"/>
        <w:spacing w:line="300" w:lineRule="auto"/>
        <w:jc w:val="center"/>
      </w:pPr>
    </w:p>
    <w:p>
      <w:pPr>
        <w:snapToGrid w:val="0"/>
        <w:spacing w:line="300" w:lineRule="auto"/>
        <w:jc w:val="center"/>
      </w:pPr>
      <w:r>
        <w:rPr>
          <w:rFonts w:hint="eastAsia"/>
        </w:rPr>
        <w:t>图</w:t>
      </w:r>
      <w:r>
        <w:t>2</w:t>
      </w:r>
      <w:r>
        <w:rPr>
          <w:rFonts w:hint="eastAsia"/>
        </w:rPr>
        <w:t>纯Mg铸态在PBS溶液中的(</w:t>
      </w:r>
      <w:r>
        <w:t>a)</w:t>
      </w:r>
      <w:r>
        <w:rPr>
          <w:rFonts w:hint="eastAsia"/>
        </w:rPr>
        <w:t>极化曲线和(</w:t>
      </w:r>
      <w:r>
        <w:t>b)</w:t>
      </w:r>
      <w:r>
        <w:rPr>
          <w:rFonts w:hint="eastAsia"/>
        </w:rPr>
        <w:t>Nyqusit</w:t>
      </w:r>
      <w:r>
        <w:t xml:space="preserve"> </w:t>
      </w:r>
      <w:r>
        <w:rPr>
          <w:rFonts w:hint="eastAsia"/>
        </w:rPr>
        <w:t>图</w:t>
      </w:r>
    </w:p>
    <w:p>
      <w:pPr>
        <w:snapToGrid w:val="0"/>
        <w:spacing w:line="300" w:lineRule="auto"/>
        <w:jc w:val="center"/>
      </w:pPr>
      <w:r>
        <mc:AlternateContent>
          <mc:Choice Requires="wps">
            <w:drawing>
              <wp:anchor distT="0" distB="0" distL="114300" distR="114300" simplePos="0" relativeHeight="251660288" behindDoc="0" locked="0" layoutInCell="1" allowOverlap="1">
                <wp:simplePos x="0" y="0"/>
                <wp:positionH relativeFrom="column">
                  <wp:posOffset>1069340</wp:posOffset>
                </wp:positionH>
                <wp:positionV relativeFrom="paragraph">
                  <wp:posOffset>133985</wp:posOffset>
                </wp:positionV>
                <wp:extent cx="382905" cy="281305"/>
                <wp:effectExtent l="2540" t="635" r="0" b="381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82905" cy="281305"/>
                        </a:xfrm>
                        <a:prstGeom prst="rect">
                          <a:avLst/>
                        </a:prstGeom>
                        <a:noFill/>
                        <a:ln>
                          <a:noFill/>
                        </a:ln>
                        <a:effectLst/>
                      </wps:spPr>
                      <wps:txbx>
                        <w:txbxContent>
                          <w:p>
                            <w:r>
                              <w:rPr>
                                <w:rFonts w:hint="eastAsia"/>
                              </w:rPr>
                              <w:t>(</w:t>
                            </w:r>
                            <w:r>
                              <w:t>a)</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4.2pt;margin-top:10.55pt;height:22.15pt;width:30.15pt;z-index:251660288;mso-width-relative:page;mso-height-relative:page;" filled="f" stroked="f" coordsize="21600,21600" o:gfxdata="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0VvJtYAAAAJAQAA&#10;DwAAAAAAAAABACAAAAAiAAAAZHJzL2Rvd25yZXYueG1sUEsBAhQAFAAAAAgAh07iQMfJ3fkbAgAA&#10;IgQAAA4AAAAAAAAAAQAgAAAAJQEAAGRycy9lMm9Eb2MueG1sUEsFBgAAAAAGAAYAWQEAALIFAAAA&#10;AA==&#10;">
                <v:fill on="f" focussize="0,0"/>
                <v:stroke on="f"/>
                <v:imagedata o:title=""/>
                <o:lock v:ext="edit" aspectratio="f"/>
                <v:textbox>
                  <w:txbxContent>
                    <w:p>
                      <w:r>
                        <w:rPr>
                          <w:rFonts w:hint="eastAsia"/>
                        </w:rPr>
                        <w:t>(</w:t>
                      </w:r>
                      <w:r>
                        <w:t>a)</w:t>
                      </w:r>
                    </w:p>
                  </w:txbxContent>
                </v:textbox>
              </v:shape>
            </w:pict>
          </mc:Fallback>
        </mc:AlternateContent>
      </w:r>
      <w:r>
        <w:drawing>
          <wp:inline distT="0" distB="0" distL="0" distR="0">
            <wp:extent cx="4705350" cy="3600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l="8095" t="7147" r="11024" b="4994"/>
                    <a:stretch>
                      <a:fillRect/>
                    </a:stretch>
                  </pic:blipFill>
                  <pic:spPr>
                    <a:xfrm>
                      <a:off x="0" y="0"/>
                      <a:ext cx="4705350" cy="3600450"/>
                    </a:xfrm>
                    <a:prstGeom prst="rect">
                      <a:avLst/>
                    </a:prstGeom>
                    <a:noFill/>
                    <a:ln>
                      <a:noFill/>
                    </a:ln>
                  </pic:spPr>
                </pic:pic>
              </a:graphicData>
            </a:graphic>
          </wp:inline>
        </w:drawing>
      </w:r>
    </w:p>
    <w:p>
      <w:pPr>
        <w:snapToGrid w:val="0"/>
        <w:spacing w:line="300" w:lineRule="auto"/>
        <w:jc w:val="center"/>
      </w:pPr>
    </w:p>
    <w:p>
      <w:pPr>
        <w:snapToGrid w:val="0"/>
        <w:spacing w:line="300" w:lineRule="auto"/>
        <w:jc w:val="center"/>
      </w:pPr>
      <w:r>
        <mc:AlternateContent>
          <mc:Choice Requires="wps">
            <w:drawing>
              <wp:anchor distT="0" distB="0" distL="114300" distR="114300" simplePos="0" relativeHeight="251661312" behindDoc="0" locked="0" layoutInCell="1" allowOverlap="1">
                <wp:simplePos x="0" y="0"/>
                <wp:positionH relativeFrom="column">
                  <wp:posOffset>1218565</wp:posOffset>
                </wp:positionH>
                <wp:positionV relativeFrom="paragraph">
                  <wp:posOffset>154305</wp:posOffset>
                </wp:positionV>
                <wp:extent cx="382905" cy="281305"/>
                <wp:effectExtent l="0" t="1905" r="0" b="254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82905" cy="281305"/>
                        </a:xfrm>
                        <a:prstGeom prst="rect">
                          <a:avLst/>
                        </a:prstGeom>
                        <a:noFill/>
                        <a:ln>
                          <a:noFill/>
                        </a:ln>
                        <a:effectLst/>
                      </wps:spPr>
                      <wps:txbx>
                        <w:txbxContent>
                          <w:p>
                            <w:r>
                              <w:rPr>
                                <w:rFonts w:hint="eastAsia"/>
                              </w:rPr>
                              <w:t>(</w:t>
                            </w:r>
                            <w:r>
                              <w:t>b)</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5.95pt;margin-top:12.15pt;height:22.15pt;width:30.15pt;z-index:251661312;mso-width-relative:page;mso-height-relative:page;" filled="f" stroked="f" coordsize="21600,21600" o:gfxdata="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sb1T1gAAAAkBAAAP&#10;AAAAAAAAAAEAIAAAACIAAABkcnMvZG93bnJldi54bWxQSwECFAAUAAAACACHTuJAD3JEkRoCAAAi&#10;BAAADgAAAAAAAAABACAAAAAlAQAAZHJzL2Uyb0RvYy54bWxQSwUGAAAAAAYABgBZAQAAsQUAAAAA&#10;">
                <v:fill on="f" focussize="0,0"/>
                <v:stroke on="f"/>
                <v:imagedata o:title=""/>
                <o:lock v:ext="edit" aspectratio="f"/>
                <v:textbox>
                  <w:txbxContent>
                    <w:p>
                      <w:r>
                        <w:rPr>
                          <w:rFonts w:hint="eastAsia"/>
                        </w:rPr>
                        <w:t>(</w:t>
                      </w:r>
                      <w:r>
                        <w:t>b)</w:t>
                      </w:r>
                    </w:p>
                  </w:txbxContent>
                </v:textbox>
              </v:shape>
            </w:pict>
          </mc:Fallback>
        </mc:AlternateContent>
      </w:r>
      <w:r>
        <w:drawing>
          <wp:inline distT="0" distB="0" distL="0" distR="0">
            <wp:extent cx="4791075" cy="36004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l="6216" t="7977" r="11372" b="4147"/>
                    <a:stretch>
                      <a:fillRect/>
                    </a:stretch>
                  </pic:blipFill>
                  <pic:spPr>
                    <a:xfrm>
                      <a:off x="0" y="0"/>
                      <a:ext cx="4791075" cy="3600450"/>
                    </a:xfrm>
                    <a:prstGeom prst="rect">
                      <a:avLst/>
                    </a:prstGeom>
                    <a:noFill/>
                    <a:ln>
                      <a:noFill/>
                    </a:ln>
                  </pic:spPr>
                </pic:pic>
              </a:graphicData>
            </a:graphic>
          </wp:inline>
        </w:drawing>
      </w:r>
    </w:p>
    <w:p>
      <w:pPr>
        <w:snapToGrid w:val="0"/>
        <w:spacing w:line="300" w:lineRule="auto"/>
        <w:jc w:val="center"/>
      </w:pPr>
      <w:r>
        <w:rPr>
          <w:rFonts w:hint="eastAsia"/>
        </w:rPr>
        <w:t>图</w:t>
      </w:r>
      <w:r>
        <w:t xml:space="preserve">3 </w:t>
      </w:r>
      <w:r>
        <w:rPr>
          <w:rFonts w:hint="eastAsia"/>
        </w:rPr>
        <w:t>Mg-Zn-Y-Nd挤压态合金在PBS溶液中的(</w:t>
      </w:r>
      <w:r>
        <w:t>a)</w:t>
      </w:r>
      <w:r>
        <w:rPr>
          <w:rFonts w:hint="eastAsia"/>
        </w:rPr>
        <w:t>极化曲线和(</w:t>
      </w:r>
      <w:r>
        <w:t>b)</w:t>
      </w:r>
      <w:r>
        <w:rPr>
          <w:rFonts w:hint="eastAsia"/>
        </w:rPr>
        <w:t>Nyqusit</w:t>
      </w:r>
      <w:r>
        <w:t xml:space="preserve"> </w:t>
      </w:r>
      <w:r>
        <w:rPr>
          <w:rFonts w:hint="eastAsia"/>
        </w:rPr>
        <w:t>图</w:t>
      </w:r>
    </w:p>
    <w:p>
      <w:pPr>
        <w:snapToGrid w:val="0"/>
        <w:spacing w:line="300" w:lineRule="auto"/>
      </w:pPr>
    </w:p>
    <w:p>
      <w:pPr>
        <w:snapToGrid w:val="0"/>
        <w:spacing w:line="300" w:lineRule="auto"/>
        <w:jc w:val="center"/>
      </w:pPr>
      <w:r>
        <w:rPr>
          <w:rFonts w:hint="eastAsia"/>
        </w:rPr>
        <w:t>表1</w:t>
      </w:r>
      <w:r>
        <w:t xml:space="preserve">  </w:t>
      </w:r>
      <w:r>
        <w:rPr>
          <w:rFonts w:hint="eastAsia"/>
        </w:rPr>
        <w:t>纯Mg铸态与Mg-Zn-Y-Nd挤压态合金在PBS溶液的电化学数据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051"/>
        <w:gridCol w:w="999"/>
        <w:gridCol w:w="1820"/>
        <w:gridCol w:w="198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01" w:type="dxa"/>
            <w:vMerge w:val="restart"/>
            <w:shd w:val="clear" w:color="auto" w:fill="auto"/>
            <w:noWrap/>
            <w:vAlign w:val="center"/>
          </w:tcPr>
          <w:p>
            <w:pPr>
              <w:snapToGrid w:val="0"/>
              <w:spacing w:line="300" w:lineRule="auto"/>
              <w:jc w:val="center"/>
              <w:rPr>
                <w:b/>
                <w:bCs/>
              </w:rPr>
            </w:pPr>
            <w:r>
              <w:rPr>
                <w:rFonts w:hint="eastAsia"/>
                <w:b/>
                <w:bCs/>
              </w:rPr>
              <w:t>材料</w:t>
            </w:r>
          </w:p>
        </w:tc>
        <w:tc>
          <w:tcPr>
            <w:tcW w:w="1051" w:type="dxa"/>
            <w:vMerge w:val="restart"/>
            <w:shd w:val="clear" w:color="auto" w:fill="auto"/>
            <w:noWrap/>
            <w:vAlign w:val="center"/>
          </w:tcPr>
          <w:p>
            <w:pPr>
              <w:snapToGrid w:val="0"/>
              <w:spacing w:line="300" w:lineRule="auto"/>
              <w:jc w:val="center"/>
              <w:rPr>
                <w:b/>
                <w:bCs/>
              </w:rPr>
            </w:pPr>
            <w:r>
              <w:rPr>
                <w:rFonts w:hint="eastAsia"/>
                <w:b/>
                <w:bCs/>
              </w:rPr>
              <w:t>试样编号</w:t>
            </w:r>
          </w:p>
        </w:tc>
        <w:tc>
          <w:tcPr>
            <w:tcW w:w="6070" w:type="dxa"/>
            <w:gridSpan w:val="4"/>
            <w:shd w:val="clear" w:color="auto" w:fill="auto"/>
            <w:noWrap/>
            <w:vAlign w:val="center"/>
          </w:tcPr>
          <w:p>
            <w:pPr>
              <w:snapToGrid w:val="0"/>
              <w:spacing w:line="300" w:lineRule="auto"/>
              <w:jc w:val="center"/>
              <w:rPr>
                <w:b/>
                <w:bCs/>
              </w:rPr>
            </w:pPr>
            <w:r>
              <w:rPr>
                <w:rFonts w:hint="eastAsia"/>
                <w:b/>
                <w:bCs/>
              </w:rPr>
              <w:t>电化学数据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01" w:type="dxa"/>
            <w:vMerge w:val="continue"/>
            <w:shd w:val="clear" w:color="auto" w:fill="auto"/>
            <w:vAlign w:val="center"/>
          </w:tcPr>
          <w:p>
            <w:pPr>
              <w:snapToGrid w:val="0"/>
              <w:spacing w:line="300" w:lineRule="auto"/>
              <w:jc w:val="center"/>
              <w:rPr>
                <w:b/>
                <w:bCs/>
              </w:rPr>
            </w:pPr>
          </w:p>
        </w:tc>
        <w:tc>
          <w:tcPr>
            <w:tcW w:w="1051" w:type="dxa"/>
            <w:vMerge w:val="continue"/>
            <w:shd w:val="clear" w:color="auto" w:fill="auto"/>
            <w:vAlign w:val="center"/>
          </w:tcPr>
          <w:p>
            <w:pPr>
              <w:snapToGrid w:val="0"/>
              <w:spacing w:line="300" w:lineRule="auto"/>
              <w:jc w:val="center"/>
              <w:rPr>
                <w:b/>
                <w:bCs/>
              </w:rPr>
            </w:pPr>
          </w:p>
        </w:tc>
        <w:tc>
          <w:tcPr>
            <w:tcW w:w="999" w:type="dxa"/>
            <w:shd w:val="clear" w:color="auto" w:fill="auto"/>
            <w:noWrap/>
            <w:vAlign w:val="center"/>
          </w:tcPr>
          <w:p>
            <w:pPr>
              <w:snapToGrid w:val="0"/>
              <w:spacing w:line="300" w:lineRule="auto"/>
              <w:jc w:val="center"/>
              <w:rPr>
                <w:b/>
                <w:bCs/>
              </w:rPr>
            </w:pPr>
            <w:r>
              <w:rPr>
                <w:rFonts w:hint="eastAsia"/>
                <w:b/>
                <w:bCs/>
              </w:rPr>
              <w:t>电位</w:t>
            </w:r>
          </w:p>
        </w:tc>
        <w:tc>
          <w:tcPr>
            <w:tcW w:w="1820" w:type="dxa"/>
            <w:shd w:val="clear" w:color="auto" w:fill="auto"/>
            <w:noWrap/>
            <w:vAlign w:val="center"/>
          </w:tcPr>
          <w:p>
            <w:pPr>
              <w:snapToGrid w:val="0"/>
              <w:spacing w:line="300" w:lineRule="auto"/>
              <w:jc w:val="center"/>
              <w:rPr>
                <w:b/>
                <w:bCs/>
              </w:rPr>
            </w:pPr>
            <w:r>
              <w:rPr>
                <w:rFonts w:hint="eastAsia"/>
                <w:b/>
                <w:bCs/>
              </w:rPr>
              <w:t>腐蚀电流密度（A/cm</w:t>
            </w:r>
            <w:r>
              <w:rPr>
                <w:rFonts w:hint="eastAsia"/>
                <w:b/>
                <w:bCs/>
                <w:vertAlign w:val="superscript"/>
              </w:rPr>
              <w:t>2</w:t>
            </w:r>
            <w:r>
              <w:rPr>
                <w:rFonts w:hint="eastAsia"/>
                <w:b/>
                <w:bCs/>
              </w:rPr>
              <w:t>）</w:t>
            </w:r>
          </w:p>
        </w:tc>
        <w:tc>
          <w:tcPr>
            <w:tcW w:w="1981" w:type="dxa"/>
            <w:shd w:val="clear" w:color="auto" w:fill="auto"/>
            <w:noWrap/>
            <w:vAlign w:val="center"/>
          </w:tcPr>
          <w:p>
            <w:pPr>
              <w:snapToGrid w:val="0"/>
              <w:spacing w:line="300" w:lineRule="auto"/>
              <w:jc w:val="center"/>
              <w:rPr>
                <w:b/>
                <w:bCs/>
              </w:rPr>
            </w:pPr>
            <w:r>
              <w:rPr>
                <w:rFonts w:hint="eastAsia"/>
                <w:b/>
                <w:bCs/>
              </w:rPr>
              <w:t>腐蚀速率(g/m</w:t>
            </w:r>
            <w:r>
              <w:rPr>
                <w:rFonts w:hint="eastAsia"/>
                <w:b/>
                <w:bCs/>
                <w:vertAlign w:val="superscript"/>
              </w:rPr>
              <w:t>2</w:t>
            </w:r>
            <w:r>
              <w:rPr>
                <w:rFonts w:hint="eastAsia"/>
                <w:b/>
                <w:bCs/>
              </w:rPr>
              <w:t xml:space="preserve"> h)</w:t>
            </w:r>
          </w:p>
        </w:tc>
        <w:tc>
          <w:tcPr>
            <w:tcW w:w="1270" w:type="dxa"/>
            <w:shd w:val="clear" w:color="auto" w:fill="auto"/>
            <w:noWrap/>
            <w:vAlign w:val="center"/>
          </w:tcPr>
          <w:p>
            <w:pPr>
              <w:snapToGrid w:val="0"/>
              <w:spacing w:line="300" w:lineRule="auto"/>
              <w:jc w:val="center"/>
              <w:rPr>
                <w:b/>
                <w:bCs/>
              </w:rPr>
            </w:pPr>
            <w:r>
              <w:rPr>
                <w:rFonts w:hint="eastAsia"/>
                <w:b/>
                <w:bCs/>
              </w:rPr>
              <w:t>腐蚀速率(mm/y)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01" w:type="dxa"/>
            <w:vMerge w:val="restart"/>
            <w:shd w:val="clear" w:color="auto" w:fill="auto"/>
            <w:noWrap/>
            <w:vAlign w:val="center"/>
          </w:tcPr>
          <w:p>
            <w:pPr>
              <w:snapToGrid w:val="0"/>
              <w:spacing w:line="300" w:lineRule="auto"/>
              <w:jc w:val="center"/>
              <w:rPr>
                <w:b/>
                <w:bCs/>
              </w:rPr>
            </w:pPr>
            <w:r>
              <w:rPr>
                <w:rFonts w:hint="eastAsia"/>
                <w:b/>
                <w:bCs/>
              </w:rPr>
              <w:t>纯Mg铸态</w:t>
            </w:r>
          </w:p>
        </w:tc>
        <w:tc>
          <w:tcPr>
            <w:tcW w:w="1051" w:type="dxa"/>
            <w:shd w:val="clear" w:color="auto" w:fill="auto"/>
            <w:noWrap/>
            <w:vAlign w:val="center"/>
          </w:tcPr>
          <w:p>
            <w:pPr>
              <w:snapToGrid w:val="0"/>
              <w:spacing w:line="300" w:lineRule="auto"/>
              <w:jc w:val="center"/>
            </w:pPr>
            <w:r>
              <w:rPr>
                <w:rFonts w:hint="eastAsia"/>
              </w:rPr>
              <w:t>1</w:t>
            </w:r>
          </w:p>
        </w:tc>
        <w:tc>
          <w:tcPr>
            <w:tcW w:w="999" w:type="dxa"/>
            <w:shd w:val="clear" w:color="auto" w:fill="auto"/>
            <w:noWrap/>
            <w:vAlign w:val="center"/>
          </w:tcPr>
          <w:p>
            <w:pPr>
              <w:snapToGrid w:val="0"/>
              <w:spacing w:line="300" w:lineRule="auto"/>
              <w:jc w:val="center"/>
            </w:pPr>
            <w:r>
              <w:rPr>
                <w:rFonts w:hint="eastAsia"/>
              </w:rPr>
              <w:t>-1.7663</w:t>
            </w:r>
          </w:p>
        </w:tc>
        <w:tc>
          <w:tcPr>
            <w:tcW w:w="1820" w:type="dxa"/>
            <w:shd w:val="clear" w:color="auto" w:fill="auto"/>
            <w:noWrap/>
            <w:vAlign w:val="center"/>
          </w:tcPr>
          <w:p>
            <w:pPr>
              <w:snapToGrid w:val="0"/>
              <w:spacing w:line="300" w:lineRule="auto"/>
              <w:jc w:val="center"/>
            </w:pPr>
            <w:r>
              <w:rPr>
                <w:rFonts w:hint="eastAsia"/>
              </w:rPr>
              <w:t>5.86×10</w:t>
            </w:r>
            <w:r>
              <w:rPr>
                <w:rFonts w:hint="eastAsia"/>
                <w:vertAlign w:val="superscript"/>
              </w:rPr>
              <w:t>-6</w:t>
            </w:r>
          </w:p>
        </w:tc>
        <w:tc>
          <w:tcPr>
            <w:tcW w:w="1981" w:type="dxa"/>
            <w:shd w:val="clear" w:color="auto" w:fill="auto"/>
            <w:noWrap/>
            <w:vAlign w:val="center"/>
          </w:tcPr>
          <w:p>
            <w:pPr>
              <w:snapToGrid w:val="0"/>
              <w:spacing w:line="300" w:lineRule="auto"/>
              <w:jc w:val="center"/>
            </w:pPr>
            <w:r>
              <w:rPr>
                <w:rFonts w:hint="eastAsia"/>
              </w:rPr>
              <w:t>2.61×10</w:t>
            </w:r>
            <w:r>
              <w:rPr>
                <w:rFonts w:hint="eastAsia"/>
                <w:vertAlign w:val="superscript"/>
              </w:rPr>
              <w:t>-2</w:t>
            </w:r>
          </w:p>
        </w:tc>
        <w:tc>
          <w:tcPr>
            <w:tcW w:w="1270" w:type="dxa"/>
            <w:shd w:val="clear" w:color="auto" w:fill="auto"/>
            <w:noWrap/>
            <w:vAlign w:val="center"/>
          </w:tcPr>
          <w:p>
            <w:pPr>
              <w:snapToGrid w:val="0"/>
              <w:spacing w:line="300" w:lineRule="auto"/>
              <w:jc w:val="center"/>
            </w:pPr>
            <w:r>
              <w:rPr>
                <w:rFonts w:hint="eastAsia"/>
              </w:rPr>
              <w:t>1.31×10</w:t>
            </w:r>
            <w:r>
              <w:rPr>
                <w:rFonts w:hint="eastAsia"/>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01" w:type="dxa"/>
            <w:vMerge w:val="continue"/>
            <w:shd w:val="clear" w:color="auto" w:fill="auto"/>
            <w:vAlign w:val="center"/>
          </w:tcPr>
          <w:p>
            <w:pPr>
              <w:snapToGrid w:val="0"/>
              <w:spacing w:line="300" w:lineRule="auto"/>
              <w:jc w:val="center"/>
              <w:rPr>
                <w:b/>
                <w:bCs/>
              </w:rPr>
            </w:pPr>
          </w:p>
        </w:tc>
        <w:tc>
          <w:tcPr>
            <w:tcW w:w="1051" w:type="dxa"/>
            <w:shd w:val="clear" w:color="auto" w:fill="auto"/>
            <w:noWrap/>
            <w:vAlign w:val="center"/>
          </w:tcPr>
          <w:p>
            <w:pPr>
              <w:snapToGrid w:val="0"/>
              <w:spacing w:line="300" w:lineRule="auto"/>
              <w:jc w:val="center"/>
            </w:pPr>
            <w:r>
              <w:t>2</w:t>
            </w:r>
          </w:p>
        </w:tc>
        <w:tc>
          <w:tcPr>
            <w:tcW w:w="999" w:type="dxa"/>
            <w:shd w:val="clear" w:color="auto" w:fill="auto"/>
            <w:noWrap/>
            <w:vAlign w:val="center"/>
          </w:tcPr>
          <w:p>
            <w:pPr>
              <w:snapToGrid w:val="0"/>
              <w:spacing w:line="300" w:lineRule="auto"/>
              <w:jc w:val="center"/>
            </w:pPr>
            <w:r>
              <w:rPr>
                <w:rFonts w:hint="eastAsia"/>
              </w:rPr>
              <w:t>-1.7408</w:t>
            </w:r>
          </w:p>
        </w:tc>
        <w:tc>
          <w:tcPr>
            <w:tcW w:w="1820" w:type="dxa"/>
            <w:shd w:val="clear" w:color="auto" w:fill="auto"/>
            <w:noWrap/>
            <w:vAlign w:val="center"/>
          </w:tcPr>
          <w:p>
            <w:pPr>
              <w:snapToGrid w:val="0"/>
              <w:spacing w:line="300" w:lineRule="auto"/>
              <w:jc w:val="center"/>
            </w:pPr>
            <w:r>
              <w:rPr>
                <w:rFonts w:hint="eastAsia"/>
              </w:rPr>
              <w:t>6.57×10</w:t>
            </w:r>
            <w:r>
              <w:rPr>
                <w:rFonts w:hint="eastAsia"/>
                <w:vertAlign w:val="superscript"/>
              </w:rPr>
              <w:t>-6</w:t>
            </w:r>
          </w:p>
        </w:tc>
        <w:tc>
          <w:tcPr>
            <w:tcW w:w="1981" w:type="dxa"/>
            <w:shd w:val="clear" w:color="auto" w:fill="auto"/>
            <w:noWrap/>
            <w:vAlign w:val="center"/>
          </w:tcPr>
          <w:p>
            <w:pPr>
              <w:snapToGrid w:val="0"/>
              <w:spacing w:line="300" w:lineRule="auto"/>
              <w:jc w:val="center"/>
            </w:pPr>
            <w:r>
              <w:rPr>
                <w:rFonts w:hint="eastAsia"/>
              </w:rPr>
              <w:t>3.01×10</w:t>
            </w:r>
            <w:r>
              <w:rPr>
                <w:rFonts w:hint="eastAsia"/>
                <w:vertAlign w:val="superscript"/>
              </w:rPr>
              <w:t>-2</w:t>
            </w:r>
          </w:p>
        </w:tc>
        <w:tc>
          <w:tcPr>
            <w:tcW w:w="1270" w:type="dxa"/>
            <w:shd w:val="clear" w:color="auto" w:fill="auto"/>
            <w:noWrap/>
            <w:vAlign w:val="center"/>
          </w:tcPr>
          <w:p>
            <w:pPr>
              <w:snapToGrid w:val="0"/>
              <w:spacing w:line="300" w:lineRule="auto"/>
              <w:jc w:val="center"/>
            </w:pPr>
            <w:r>
              <w:rPr>
                <w:rFonts w:hint="eastAsia"/>
              </w:rPr>
              <w:t>1.51×10</w:t>
            </w:r>
            <w:r>
              <w:rPr>
                <w:rFonts w:hint="eastAsia"/>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01" w:type="dxa"/>
            <w:vMerge w:val="continue"/>
            <w:shd w:val="clear" w:color="auto" w:fill="auto"/>
            <w:vAlign w:val="center"/>
          </w:tcPr>
          <w:p>
            <w:pPr>
              <w:snapToGrid w:val="0"/>
              <w:spacing w:line="300" w:lineRule="auto"/>
              <w:jc w:val="center"/>
              <w:rPr>
                <w:b/>
                <w:bCs/>
              </w:rPr>
            </w:pPr>
          </w:p>
        </w:tc>
        <w:tc>
          <w:tcPr>
            <w:tcW w:w="1051" w:type="dxa"/>
            <w:shd w:val="clear" w:color="auto" w:fill="auto"/>
            <w:noWrap/>
            <w:vAlign w:val="center"/>
          </w:tcPr>
          <w:p>
            <w:pPr>
              <w:snapToGrid w:val="0"/>
              <w:spacing w:line="300" w:lineRule="auto"/>
              <w:jc w:val="center"/>
            </w:pPr>
            <w:r>
              <w:t>3</w:t>
            </w:r>
          </w:p>
        </w:tc>
        <w:tc>
          <w:tcPr>
            <w:tcW w:w="999" w:type="dxa"/>
            <w:shd w:val="clear" w:color="auto" w:fill="auto"/>
            <w:noWrap/>
            <w:vAlign w:val="center"/>
          </w:tcPr>
          <w:p>
            <w:pPr>
              <w:snapToGrid w:val="0"/>
              <w:spacing w:line="300" w:lineRule="auto"/>
              <w:jc w:val="center"/>
            </w:pPr>
            <w:r>
              <w:rPr>
                <w:rFonts w:hint="eastAsia"/>
              </w:rPr>
              <w:t>-1.7192</w:t>
            </w:r>
          </w:p>
        </w:tc>
        <w:tc>
          <w:tcPr>
            <w:tcW w:w="1820" w:type="dxa"/>
            <w:shd w:val="clear" w:color="auto" w:fill="auto"/>
            <w:noWrap/>
            <w:vAlign w:val="center"/>
          </w:tcPr>
          <w:p>
            <w:pPr>
              <w:snapToGrid w:val="0"/>
              <w:spacing w:line="300" w:lineRule="auto"/>
              <w:jc w:val="center"/>
            </w:pPr>
            <w:r>
              <w:rPr>
                <w:rFonts w:hint="eastAsia"/>
              </w:rPr>
              <w:t>6.83×10</w:t>
            </w:r>
            <w:r>
              <w:rPr>
                <w:rFonts w:hint="eastAsia"/>
                <w:vertAlign w:val="superscript"/>
              </w:rPr>
              <w:t>-6</w:t>
            </w:r>
          </w:p>
        </w:tc>
        <w:tc>
          <w:tcPr>
            <w:tcW w:w="1981" w:type="dxa"/>
            <w:shd w:val="clear" w:color="auto" w:fill="auto"/>
            <w:noWrap/>
            <w:vAlign w:val="center"/>
          </w:tcPr>
          <w:p>
            <w:pPr>
              <w:snapToGrid w:val="0"/>
              <w:spacing w:line="300" w:lineRule="auto"/>
              <w:jc w:val="center"/>
            </w:pPr>
            <w:r>
              <w:rPr>
                <w:rFonts w:hint="eastAsia"/>
              </w:rPr>
              <w:t>3.01×10</w:t>
            </w:r>
            <w:r>
              <w:rPr>
                <w:rFonts w:hint="eastAsia"/>
                <w:vertAlign w:val="superscript"/>
              </w:rPr>
              <w:t>-2</w:t>
            </w:r>
          </w:p>
        </w:tc>
        <w:tc>
          <w:tcPr>
            <w:tcW w:w="1270" w:type="dxa"/>
            <w:shd w:val="clear" w:color="auto" w:fill="auto"/>
            <w:noWrap/>
            <w:vAlign w:val="center"/>
          </w:tcPr>
          <w:p>
            <w:pPr>
              <w:snapToGrid w:val="0"/>
              <w:spacing w:line="300" w:lineRule="auto"/>
              <w:jc w:val="center"/>
            </w:pPr>
            <w:r>
              <w:rPr>
                <w:rFonts w:hint="eastAsia"/>
              </w:rPr>
              <w:t>1.51×10</w:t>
            </w:r>
            <w:r>
              <w:rPr>
                <w:rFonts w:hint="eastAsia"/>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01" w:type="dxa"/>
            <w:vMerge w:val="restart"/>
            <w:shd w:val="clear" w:color="auto" w:fill="auto"/>
            <w:noWrap/>
            <w:vAlign w:val="center"/>
          </w:tcPr>
          <w:p>
            <w:pPr>
              <w:snapToGrid w:val="0"/>
              <w:spacing w:line="300" w:lineRule="auto"/>
              <w:jc w:val="center"/>
              <w:rPr>
                <w:b/>
                <w:bCs/>
              </w:rPr>
            </w:pPr>
            <w:r>
              <w:rPr>
                <w:rFonts w:hint="eastAsia"/>
                <w:b/>
                <w:bCs/>
              </w:rPr>
              <w:t>Mg-Zn-Y-Nd挤压态</w:t>
            </w:r>
          </w:p>
        </w:tc>
        <w:tc>
          <w:tcPr>
            <w:tcW w:w="1051" w:type="dxa"/>
            <w:shd w:val="clear" w:color="auto" w:fill="auto"/>
            <w:noWrap/>
            <w:vAlign w:val="center"/>
          </w:tcPr>
          <w:p>
            <w:pPr>
              <w:snapToGrid w:val="0"/>
              <w:spacing w:line="300" w:lineRule="auto"/>
              <w:jc w:val="center"/>
            </w:pPr>
            <w:r>
              <w:rPr>
                <w:rFonts w:hint="eastAsia"/>
              </w:rPr>
              <w:t>1</w:t>
            </w:r>
          </w:p>
        </w:tc>
        <w:tc>
          <w:tcPr>
            <w:tcW w:w="999" w:type="dxa"/>
            <w:shd w:val="clear" w:color="auto" w:fill="auto"/>
            <w:noWrap/>
            <w:vAlign w:val="center"/>
          </w:tcPr>
          <w:p>
            <w:pPr>
              <w:snapToGrid w:val="0"/>
              <w:spacing w:line="300" w:lineRule="auto"/>
              <w:jc w:val="center"/>
            </w:pPr>
            <w:r>
              <w:rPr>
                <w:rFonts w:hint="eastAsia"/>
              </w:rPr>
              <w:t>-1.5234</w:t>
            </w:r>
          </w:p>
        </w:tc>
        <w:tc>
          <w:tcPr>
            <w:tcW w:w="1820" w:type="dxa"/>
            <w:shd w:val="clear" w:color="auto" w:fill="auto"/>
            <w:noWrap/>
            <w:vAlign w:val="center"/>
          </w:tcPr>
          <w:p>
            <w:pPr>
              <w:snapToGrid w:val="0"/>
              <w:spacing w:line="300" w:lineRule="auto"/>
              <w:jc w:val="center"/>
            </w:pPr>
            <w:r>
              <w:rPr>
                <w:rFonts w:hint="eastAsia"/>
              </w:rPr>
              <w:t>6.45×10</w:t>
            </w:r>
            <w:r>
              <w:rPr>
                <w:rFonts w:hint="eastAsia"/>
                <w:vertAlign w:val="superscript"/>
              </w:rPr>
              <w:t>-6</w:t>
            </w:r>
          </w:p>
        </w:tc>
        <w:tc>
          <w:tcPr>
            <w:tcW w:w="1981" w:type="dxa"/>
            <w:shd w:val="clear" w:color="auto" w:fill="auto"/>
            <w:noWrap/>
            <w:vAlign w:val="center"/>
          </w:tcPr>
          <w:p>
            <w:pPr>
              <w:snapToGrid w:val="0"/>
              <w:spacing w:line="300" w:lineRule="auto"/>
              <w:jc w:val="center"/>
            </w:pPr>
            <w:r>
              <w:rPr>
                <w:rFonts w:hint="eastAsia"/>
              </w:rPr>
              <w:t>3.40×10</w:t>
            </w:r>
            <w:r>
              <w:rPr>
                <w:rFonts w:hint="eastAsia"/>
                <w:vertAlign w:val="superscript"/>
              </w:rPr>
              <w:t>-2</w:t>
            </w:r>
          </w:p>
        </w:tc>
        <w:tc>
          <w:tcPr>
            <w:tcW w:w="1270" w:type="dxa"/>
            <w:shd w:val="clear" w:color="auto" w:fill="auto"/>
            <w:noWrap/>
            <w:vAlign w:val="center"/>
          </w:tcPr>
          <w:p>
            <w:pPr>
              <w:snapToGrid w:val="0"/>
              <w:spacing w:line="300" w:lineRule="auto"/>
              <w:jc w:val="center"/>
            </w:pPr>
            <w:r>
              <w:rPr>
                <w:rFonts w:hint="eastAsia"/>
              </w:rPr>
              <w:t>1.71×10</w:t>
            </w:r>
            <w:r>
              <w:rPr>
                <w:rFonts w:hint="eastAsia"/>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01" w:type="dxa"/>
            <w:vMerge w:val="continue"/>
            <w:shd w:val="clear" w:color="auto" w:fill="auto"/>
            <w:vAlign w:val="center"/>
          </w:tcPr>
          <w:p>
            <w:pPr>
              <w:snapToGrid w:val="0"/>
              <w:spacing w:line="300" w:lineRule="auto"/>
              <w:jc w:val="center"/>
              <w:rPr>
                <w:b/>
                <w:bCs/>
              </w:rPr>
            </w:pPr>
          </w:p>
        </w:tc>
        <w:tc>
          <w:tcPr>
            <w:tcW w:w="1051" w:type="dxa"/>
            <w:shd w:val="clear" w:color="auto" w:fill="auto"/>
            <w:noWrap/>
            <w:vAlign w:val="center"/>
          </w:tcPr>
          <w:p>
            <w:pPr>
              <w:snapToGrid w:val="0"/>
              <w:spacing w:line="300" w:lineRule="auto"/>
              <w:jc w:val="center"/>
            </w:pPr>
            <w:r>
              <w:t>2</w:t>
            </w:r>
          </w:p>
        </w:tc>
        <w:tc>
          <w:tcPr>
            <w:tcW w:w="999" w:type="dxa"/>
            <w:shd w:val="clear" w:color="auto" w:fill="auto"/>
            <w:noWrap/>
            <w:vAlign w:val="center"/>
          </w:tcPr>
          <w:p>
            <w:pPr>
              <w:snapToGrid w:val="0"/>
              <w:spacing w:line="300" w:lineRule="auto"/>
              <w:jc w:val="center"/>
            </w:pPr>
            <w:r>
              <w:rPr>
                <w:rFonts w:hint="eastAsia"/>
              </w:rPr>
              <w:t>-1.5361</w:t>
            </w:r>
          </w:p>
        </w:tc>
        <w:tc>
          <w:tcPr>
            <w:tcW w:w="1820" w:type="dxa"/>
            <w:shd w:val="clear" w:color="auto" w:fill="auto"/>
            <w:noWrap/>
            <w:vAlign w:val="center"/>
          </w:tcPr>
          <w:p>
            <w:pPr>
              <w:snapToGrid w:val="0"/>
              <w:spacing w:line="300" w:lineRule="auto"/>
              <w:jc w:val="center"/>
            </w:pPr>
            <w:r>
              <w:rPr>
                <w:rFonts w:hint="eastAsia"/>
              </w:rPr>
              <w:t>5.03×10</w:t>
            </w:r>
            <w:r>
              <w:rPr>
                <w:rFonts w:hint="eastAsia"/>
                <w:vertAlign w:val="superscript"/>
              </w:rPr>
              <w:t>-6</w:t>
            </w:r>
          </w:p>
        </w:tc>
        <w:tc>
          <w:tcPr>
            <w:tcW w:w="1981" w:type="dxa"/>
            <w:shd w:val="clear" w:color="auto" w:fill="auto"/>
            <w:noWrap/>
            <w:vAlign w:val="center"/>
          </w:tcPr>
          <w:p>
            <w:pPr>
              <w:snapToGrid w:val="0"/>
              <w:spacing w:line="300" w:lineRule="auto"/>
              <w:jc w:val="center"/>
            </w:pPr>
            <w:r>
              <w:rPr>
                <w:rFonts w:hint="eastAsia"/>
              </w:rPr>
              <w:t>2.37×10</w:t>
            </w:r>
            <w:r>
              <w:rPr>
                <w:rFonts w:hint="eastAsia"/>
                <w:vertAlign w:val="superscript"/>
              </w:rPr>
              <w:t>-2</w:t>
            </w:r>
          </w:p>
        </w:tc>
        <w:tc>
          <w:tcPr>
            <w:tcW w:w="1270" w:type="dxa"/>
            <w:shd w:val="clear" w:color="auto" w:fill="auto"/>
            <w:noWrap/>
            <w:vAlign w:val="center"/>
          </w:tcPr>
          <w:p>
            <w:pPr>
              <w:snapToGrid w:val="0"/>
              <w:spacing w:line="300" w:lineRule="auto"/>
              <w:jc w:val="center"/>
            </w:pPr>
            <w:r>
              <w:rPr>
                <w:rFonts w:hint="eastAsia"/>
              </w:rPr>
              <w:t>1.19×10</w:t>
            </w:r>
            <w:r>
              <w:rPr>
                <w:rFonts w:hint="eastAsia"/>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01" w:type="dxa"/>
            <w:vMerge w:val="continue"/>
            <w:shd w:val="clear" w:color="auto" w:fill="auto"/>
            <w:vAlign w:val="center"/>
          </w:tcPr>
          <w:p>
            <w:pPr>
              <w:snapToGrid w:val="0"/>
              <w:spacing w:line="300" w:lineRule="auto"/>
              <w:jc w:val="center"/>
              <w:rPr>
                <w:b/>
                <w:bCs/>
              </w:rPr>
            </w:pPr>
          </w:p>
        </w:tc>
        <w:tc>
          <w:tcPr>
            <w:tcW w:w="1051" w:type="dxa"/>
            <w:shd w:val="clear" w:color="auto" w:fill="auto"/>
            <w:noWrap/>
            <w:vAlign w:val="center"/>
          </w:tcPr>
          <w:p>
            <w:pPr>
              <w:snapToGrid w:val="0"/>
              <w:spacing w:line="300" w:lineRule="auto"/>
              <w:jc w:val="center"/>
            </w:pPr>
            <w:r>
              <w:t>3</w:t>
            </w:r>
          </w:p>
        </w:tc>
        <w:tc>
          <w:tcPr>
            <w:tcW w:w="999" w:type="dxa"/>
            <w:shd w:val="clear" w:color="auto" w:fill="auto"/>
            <w:noWrap/>
            <w:vAlign w:val="center"/>
          </w:tcPr>
          <w:p>
            <w:pPr>
              <w:snapToGrid w:val="0"/>
              <w:spacing w:line="300" w:lineRule="auto"/>
              <w:jc w:val="center"/>
            </w:pPr>
            <w:r>
              <w:rPr>
                <w:rFonts w:hint="eastAsia"/>
              </w:rPr>
              <w:t>-1.5315</w:t>
            </w:r>
          </w:p>
        </w:tc>
        <w:tc>
          <w:tcPr>
            <w:tcW w:w="1820" w:type="dxa"/>
            <w:shd w:val="clear" w:color="auto" w:fill="auto"/>
            <w:noWrap/>
            <w:vAlign w:val="center"/>
          </w:tcPr>
          <w:p>
            <w:pPr>
              <w:snapToGrid w:val="0"/>
              <w:spacing w:line="300" w:lineRule="auto"/>
              <w:jc w:val="center"/>
            </w:pPr>
            <w:r>
              <w:rPr>
                <w:rFonts w:hint="eastAsia"/>
              </w:rPr>
              <w:t>4.83×10</w:t>
            </w:r>
            <w:r>
              <w:rPr>
                <w:rFonts w:hint="eastAsia"/>
                <w:vertAlign w:val="superscript"/>
              </w:rPr>
              <w:t>-6</w:t>
            </w:r>
          </w:p>
        </w:tc>
        <w:tc>
          <w:tcPr>
            <w:tcW w:w="1981" w:type="dxa"/>
            <w:shd w:val="clear" w:color="auto" w:fill="auto"/>
            <w:noWrap/>
            <w:vAlign w:val="center"/>
          </w:tcPr>
          <w:p>
            <w:pPr>
              <w:snapToGrid w:val="0"/>
              <w:spacing w:line="300" w:lineRule="auto"/>
              <w:jc w:val="center"/>
            </w:pPr>
            <w:r>
              <w:rPr>
                <w:rFonts w:hint="eastAsia"/>
              </w:rPr>
              <w:t>1.08×10</w:t>
            </w:r>
            <w:r>
              <w:rPr>
                <w:rFonts w:hint="eastAsia"/>
                <w:vertAlign w:val="superscript"/>
              </w:rPr>
              <w:t>-2</w:t>
            </w:r>
          </w:p>
        </w:tc>
        <w:tc>
          <w:tcPr>
            <w:tcW w:w="1270" w:type="dxa"/>
            <w:shd w:val="clear" w:color="auto" w:fill="auto"/>
            <w:noWrap/>
            <w:vAlign w:val="center"/>
          </w:tcPr>
          <w:p>
            <w:pPr>
              <w:snapToGrid w:val="0"/>
              <w:spacing w:line="300" w:lineRule="auto"/>
              <w:jc w:val="center"/>
            </w:pPr>
            <w:r>
              <w:rPr>
                <w:rFonts w:hint="eastAsia"/>
              </w:rPr>
              <w:t>5.43×10</w:t>
            </w:r>
            <w:r>
              <w:rPr>
                <w:rFonts w:hint="eastAsia"/>
                <w:vertAlign w:val="superscript"/>
              </w:rPr>
              <w:t>-2</w:t>
            </w:r>
          </w:p>
        </w:tc>
      </w:tr>
    </w:tbl>
    <w:p>
      <w:pPr>
        <w:snapToGrid w:val="0"/>
        <w:spacing w:line="300" w:lineRule="auto"/>
        <w:ind w:firstLine="420" w:firstLineChars="200"/>
      </w:pPr>
    </w:p>
    <w:p>
      <w:pPr>
        <w:snapToGrid w:val="0"/>
        <w:spacing w:line="300" w:lineRule="auto"/>
        <w:ind w:firstLine="420" w:firstLineChars="200"/>
      </w:pPr>
      <w:r>
        <w:rPr>
          <w:rFonts w:hint="eastAsia"/>
        </w:rPr>
        <w:t>Mg-Zn-Y-Nd镁合金是专为医用开发的植入材料，所添加的合金元素对提高镁的力学性能有很大的提升，通过电化学试验对Mg-Zn-Y-Nd挤压态和纯镁铸态进行的测试数据与理论符合，是一种在体对镁合金支架进行简单有效的评价降解性能的方法。</w:t>
      </w:r>
    </w:p>
    <w:p/>
    <w:p>
      <w:r>
        <w:rPr>
          <w:rFonts w:hint="eastAsia"/>
        </w:rPr>
        <w:t>3</w:t>
      </w:r>
      <w:r>
        <w:t>.2 技术经济论证，预期的经济效果</w:t>
      </w:r>
    </w:p>
    <w:p>
      <w:pPr>
        <w:ind w:firstLine="420" w:firstLineChars="200"/>
      </w:pPr>
      <w:r>
        <w:rPr>
          <w:rFonts w:hint="eastAsia"/>
        </w:rPr>
        <w:t>心血管疾病是人类死亡的主要原因。其中冠状动脉粥样硬化心脏病是临床中最常见的心血管疾病。根据由国家心血管病中心组织编撰的《中国心血管病报告2018》显示，我国心脑血管病患病率及死亡率仍处于上升阶段。推算心血管病现患人数2.9亿，心血管病死亡率仍居首位。面对不断增加的心血管患病人数，亟需一种快速而有效的治疗方式，介入治疗以其创伤小、疗效显著、恢复快等优点，受到广大临床医生和患者的青睐。2017年大陆地区冠心病介入治疗总例数较2016年增长13%，冠脉介入治疗平均置入支架1.47枚，至2018年，年支架植入数量约为133.6万。</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不可降解金属药物洗脱支架目前作为主要治疗手段，在植入的病变血管处后，涂层中的药物通过洗脱的方式缓释至血管壁，抑制平滑肌细胞过度增殖，从而有效的降低再狭窄率。尽管药物涂层支架（Drug</w:t>
      </w:r>
      <w:r>
        <w:t>-Eluting Stent，</w:t>
      </w:r>
      <w:r>
        <w:rPr>
          <w:rFonts w:hint="eastAsia"/>
        </w:rPr>
        <w:t>DES，以下简称D</w:t>
      </w:r>
      <w:r>
        <w:t>ES</w:t>
      </w:r>
      <w:r>
        <w:rPr>
          <w:rFonts w:hint="eastAsia"/>
        </w:rPr>
        <w:t>）成功地减少了支架内再狭窄的发生率，但其长期的安全性和有效性一直备受关注。DES的主要缺点包括与植入部位力学不匹配，限制血管的正常扩张和适应性动脉重建，晚期支架血栓形成，延迟支架内皮化，以及金属支架长期植入后引起的持续性和慢性异物反应。导致这些现象的根本原因是裸支架和药物洗脱支架的金属支架都是血管内的异物，金属支架通常由不锈钢或钴铬合金制成。即使在患者康复后，这些金属支架通常也会永久地放置在目标动脉血管内。</w:t>
      </w:r>
      <w:bookmarkStart w:id="0" w:name="_GoBack"/>
      <w:bookmarkEnd w:id="0"/>
    </w:p>
    <w:p>
      <w:pPr>
        <w:ind w:firstLine="420" w:firstLineChars="200"/>
      </w:pPr>
      <w:r>
        <w:rPr>
          <w:rFonts w:hint="eastAsia"/>
        </w:rPr>
        <w:t>生物可降解血管支架，通常具有优异的短期及长期效果，支架在数月之内完全降解，从而避免了支架永久存在造成的晚期血栓、支架内再狭窄、动脉粥样硬化及排异反应。</w:t>
      </w:r>
    </w:p>
    <w:p>
      <w:r>
        <w:rPr>
          <w:rFonts w:hint="eastAsia"/>
        </w:rPr>
        <w:t>理想的生物可降解支架在植入人体内后应平衡降解性能和力学性能，在动脉血管重建初始阶段，支架降解速度应非常缓慢，以维持优异的支撑强度，此血管重建周期为6-12个月，此后，随着支架逐步降解，支架支撑力降低，降解产物被代谢或吸收且不累积在植入部位，此支架降解过程为12-24个月。以上两个过程主要取决于支架类型和植入部位情况，因此应结合环境情况评价材料。</w:t>
      </w:r>
    </w:p>
    <w:p>
      <w:pPr>
        <w:ind w:firstLine="420" w:firstLineChars="200"/>
      </w:pPr>
      <w:r>
        <w:rPr>
          <w:rFonts w:hint="eastAsia"/>
        </w:rPr>
        <w:t>镁及镁合金具有合适的力学性能、良好的生物相容性以及生物可降解性等特征。相比其他用于血管支架的生物材料，镁是人体必需的元素之一；镁及镁合金具有合适的力学强度，柔顺性较好，弹性模量和屈服强度远高于聚乳酸材料；Mg</w:t>
      </w:r>
      <w:r>
        <w:rPr>
          <w:rFonts w:hint="eastAsia"/>
          <w:vertAlign w:val="superscript"/>
        </w:rPr>
        <w:t>2+</w:t>
      </w:r>
      <w:r>
        <w:rPr>
          <w:rFonts w:hint="eastAsia"/>
        </w:rPr>
        <w:t>具有一些与心血管治疗相关的功能，如能通过抑制血小板聚集和粘附、拮抗血栓形成、预防血管痉挛等作用；生物可降解性，镁及镁合金的腐蚀速度能够通过各种改性方法调控，以得到拥有更为优异的力学性能、降解行为、生物相容性及功能性的材料。因镁支架预期目的是以适当的速率在体内降解以匹配病变血管的重建，因此评价其降解行为非常重要，本标准通过电化学方法建立了一种镁合金在体外的降解的试验方法。该方用于镁合金支架产品开发及产品控制时了解其基础降解性能。</w:t>
      </w:r>
    </w:p>
    <w:p>
      <w:pPr>
        <w:pStyle w:val="2"/>
        <w:rPr>
          <w:lang w:eastAsia="zh-CN"/>
        </w:rPr>
      </w:pPr>
      <w:r>
        <w:rPr>
          <w:rFonts w:hint="eastAsia"/>
          <w:lang w:eastAsia="zh-CN"/>
        </w:rPr>
        <w:t>四、采用国际标准的程度及水平的简要说明</w:t>
      </w:r>
    </w:p>
    <w:p>
      <w:pPr>
        <w:ind w:firstLine="420" w:firstLineChars="200"/>
      </w:pPr>
      <w:r>
        <w:rPr>
          <w:rFonts w:hint="eastAsia"/>
        </w:rPr>
        <w:t xml:space="preserve">参考《ASTM </w:t>
      </w:r>
      <w:r>
        <w:t>G102-89</w:t>
      </w:r>
      <w:r>
        <w:rPr>
          <w:rFonts w:hint="eastAsia"/>
        </w:rPr>
        <w:t xml:space="preserve"> Standard </w:t>
      </w:r>
      <w:r>
        <w:t>P</w:t>
      </w:r>
      <w:r>
        <w:rPr>
          <w:rFonts w:hint="eastAsia"/>
        </w:rPr>
        <w:t xml:space="preserve">ractice for </w:t>
      </w:r>
      <w:r>
        <w:t>C</w:t>
      </w:r>
      <w:r>
        <w:rPr>
          <w:rFonts w:hint="eastAsia"/>
        </w:rPr>
        <w:t>alculation</w:t>
      </w:r>
      <w:r>
        <w:t xml:space="preserve"> of Corrosion Rates and Related Information from Electrochemical Measurements</w:t>
      </w:r>
      <w:r>
        <w:rPr>
          <w:rFonts w:hint="eastAsia"/>
        </w:rPr>
        <w:t>》</w:t>
      </w:r>
    </w:p>
    <w:p>
      <w:pPr>
        <w:ind w:firstLine="420" w:firstLineChars="200"/>
      </w:pPr>
      <w:r>
        <w:rPr>
          <w:rFonts w:hint="eastAsia"/>
        </w:rPr>
        <w:t xml:space="preserve">《ASTM </w:t>
      </w:r>
      <w:r>
        <w:t>F3044</w:t>
      </w:r>
      <w:r>
        <w:rPr>
          <w:rFonts w:hint="eastAsia"/>
        </w:rPr>
        <w:t xml:space="preserve"> </w:t>
      </w:r>
      <w:r>
        <w:t>Test Method for Standard Test Method for Evaluating the Potential for Galvanic Corrosion for Medical Implants</w:t>
      </w:r>
      <w:r>
        <w:rPr>
          <w:rFonts w:hint="eastAsia"/>
        </w:rPr>
        <w:t>》</w:t>
      </w:r>
    </w:p>
    <w:p>
      <w:pPr>
        <w:pStyle w:val="2"/>
        <w:rPr>
          <w:lang w:eastAsia="zh-CN"/>
        </w:rPr>
      </w:pPr>
      <w:r>
        <w:rPr>
          <w:rFonts w:hint="eastAsia"/>
          <w:lang w:eastAsia="zh-CN"/>
        </w:rPr>
        <w:t>五、与有关的现行法律、法规和强制性标准的关系</w:t>
      </w:r>
    </w:p>
    <w:p>
      <w:pPr>
        <w:ind w:firstLine="420" w:firstLineChars="200"/>
      </w:pPr>
      <w:r>
        <w:rPr>
          <w:rFonts w:hint="eastAsia"/>
        </w:rPr>
        <w:t>本标准内容符合现行法律、法规</w:t>
      </w:r>
    </w:p>
    <w:p>
      <w:pPr>
        <w:pStyle w:val="2"/>
        <w:rPr>
          <w:lang w:eastAsia="zh-CN"/>
        </w:rPr>
      </w:pPr>
      <w:r>
        <w:rPr>
          <w:rFonts w:hint="eastAsia"/>
          <w:lang w:eastAsia="zh-CN"/>
        </w:rPr>
        <w:t>六、重大分歧意见的处理经过和依据</w:t>
      </w:r>
    </w:p>
    <w:p>
      <w:pPr>
        <w:ind w:firstLine="420" w:firstLineChars="200"/>
      </w:pPr>
      <w:r>
        <w:rPr>
          <w:rFonts w:hint="eastAsia"/>
        </w:rPr>
        <w:t>目前，没有分歧意见</w:t>
      </w:r>
    </w:p>
    <w:p>
      <w:pPr>
        <w:pStyle w:val="2"/>
        <w:rPr>
          <w:lang w:eastAsia="zh-CN"/>
        </w:rPr>
      </w:pPr>
      <w:r>
        <w:rPr>
          <w:rFonts w:hint="eastAsia"/>
          <w:lang w:eastAsia="zh-CN"/>
        </w:rPr>
        <w:t>七、其它应予说明的事项</w:t>
      </w:r>
    </w:p>
    <w:p>
      <w:pPr>
        <w:ind w:firstLine="420" w:firstLineChars="200"/>
      </w:pPr>
      <w:r>
        <w:rPr>
          <w:rFonts w:hint="eastAsi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B4AF5"/>
    <w:rsid w:val="00020C1E"/>
    <w:rsid w:val="00132E3B"/>
    <w:rsid w:val="00136C68"/>
    <w:rsid w:val="002467B2"/>
    <w:rsid w:val="002675CB"/>
    <w:rsid w:val="003252AF"/>
    <w:rsid w:val="0035066D"/>
    <w:rsid w:val="00397F3D"/>
    <w:rsid w:val="003C322A"/>
    <w:rsid w:val="003F5BCB"/>
    <w:rsid w:val="003F72E1"/>
    <w:rsid w:val="004F4A23"/>
    <w:rsid w:val="005A6665"/>
    <w:rsid w:val="006059BB"/>
    <w:rsid w:val="006C2749"/>
    <w:rsid w:val="006E5126"/>
    <w:rsid w:val="00710836"/>
    <w:rsid w:val="00741B54"/>
    <w:rsid w:val="00771F60"/>
    <w:rsid w:val="00893634"/>
    <w:rsid w:val="008C3B30"/>
    <w:rsid w:val="00914BC2"/>
    <w:rsid w:val="00940BDE"/>
    <w:rsid w:val="009E04BA"/>
    <w:rsid w:val="009F2C3B"/>
    <w:rsid w:val="00B26EB2"/>
    <w:rsid w:val="00B870F3"/>
    <w:rsid w:val="00C473B7"/>
    <w:rsid w:val="00C676E2"/>
    <w:rsid w:val="00D25590"/>
    <w:rsid w:val="00E340B2"/>
    <w:rsid w:val="00E5766E"/>
    <w:rsid w:val="00E64CD3"/>
    <w:rsid w:val="00F02358"/>
    <w:rsid w:val="00F1119A"/>
    <w:rsid w:val="00F97DAD"/>
    <w:rsid w:val="00FB0E23"/>
    <w:rsid w:val="00FC411F"/>
    <w:rsid w:val="0A3B4AF5"/>
    <w:rsid w:val="0C92211E"/>
    <w:rsid w:val="201E2FB1"/>
    <w:rsid w:val="2B961490"/>
    <w:rsid w:val="31A45359"/>
    <w:rsid w:val="331A553D"/>
    <w:rsid w:val="33C21346"/>
    <w:rsid w:val="35EF1D67"/>
    <w:rsid w:val="3FCA4796"/>
    <w:rsid w:val="45A55229"/>
    <w:rsid w:val="4D2A1521"/>
    <w:rsid w:val="54F93281"/>
    <w:rsid w:val="56EA430C"/>
    <w:rsid w:val="58E317DA"/>
    <w:rsid w:val="598F0AD6"/>
    <w:rsid w:val="6B4E1C0C"/>
    <w:rsid w:val="7513358C"/>
    <w:rsid w:val="7F7C4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440" w:after="200" w:line="440" w:lineRule="exact"/>
      <w:outlineLvl w:val="0"/>
    </w:pPr>
    <w:rPr>
      <w:rFonts w:ascii="仿宋" w:hAnsi="仿宋" w:eastAsia="黑体" w:cs="仿宋"/>
      <w:b/>
      <w:bCs/>
      <w:color w:val="000000" w:themeColor="text1"/>
      <w:szCs w:val="32"/>
      <w:lang w:eastAsia="en-US"/>
      <w14:textFill>
        <w14:solidFill>
          <w14:schemeClr w14:val="tx1"/>
        </w14:solidFill>
      </w14:textFill>
    </w:rPr>
  </w:style>
  <w:style w:type="paragraph" w:styleId="3">
    <w:name w:val="heading 2"/>
    <w:basedOn w:val="1"/>
    <w:next w:val="1"/>
    <w:link w:val="14"/>
    <w:unhideWhenUsed/>
    <w:qFormat/>
    <w:uiPriority w:val="0"/>
    <w:pPr>
      <w:keepNext/>
      <w:keepLines/>
      <w:spacing w:before="200" w:after="200"/>
      <w:outlineLvl w:val="1"/>
    </w:pPr>
    <w:rPr>
      <w:rFonts w:ascii="仿宋" w:hAnsi="仿宋" w:eastAsia="黑体" w:cs="仿宋"/>
      <w:b/>
      <w:bCs/>
      <w:color w:val="000000" w:themeColor="text1"/>
      <w:lang w:eastAsia="en-US"/>
      <w14:textFill>
        <w14:solidFill>
          <w14:schemeClr w14:val="tx1"/>
        </w14:solidFill>
      </w14:textFill>
    </w:rPr>
  </w:style>
  <w:style w:type="paragraph" w:styleId="4">
    <w:name w:val="heading 3"/>
    <w:basedOn w:val="1"/>
    <w:next w:val="1"/>
    <w:link w:val="15"/>
    <w:unhideWhenUsed/>
    <w:qFormat/>
    <w:uiPriority w:val="0"/>
    <w:pPr>
      <w:keepNext/>
      <w:keepLines/>
      <w:spacing w:before="200" w:after="200"/>
      <w:outlineLvl w:val="2"/>
    </w:pPr>
    <w:rPr>
      <w:rFonts w:eastAsia="黑体" w:asciiTheme="majorHAnsi" w:hAnsiTheme="majorHAnsi" w:cstheme="majorBidi"/>
      <w:b/>
      <w:bCs/>
      <w:color w:val="000000" w:themeColor="text1"/>
      <w:lang w:eastAsia="en-US"/>
      <w14:textFill>
        <w14:solidFill>
          <w14:schemeClr w14:val="tx1"/>
        </w14:solidFill>
      </w14:textFill>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8"/>
    <w:qFormat/>
    <w:uiPriority w:val="0"/>
    <w:pPr>
      <w:jc w:val="left"/>
    </w:pPr>
  </w:style>
  <w:style w:type="paragraph" w:styleId="6">
    <w:name w:val="Balloon Text"/>
    <w:basedOn w:val="1"/>
    <w:link w:val="20"/>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9"/>
    <w:qFormat/>
    <w:uiPriority w:val="0"/>
    <w:rPr>
      <w:b/>
      <w:bCs/>
    </w:rPr>
  </w:style>
  <w:style w:type="character" w:styleId="12">
    <w:name w:val="annotation reference"/>
    <w:basedOn w:val="11"/>
    <w:qFormat/>
    <w:uiPriority w:val="0"/>
    <w:rPr>
      <w:sz w:val="21"/>
      <w:szCs w:val="21"/>
    </w:rPr>
  </w:style>
  <w:style w:type="character" w:customStyle="1" w:styleId="13">
    <w:name w:val="标题 1 Char"/>
    <w:basedOn w:val="11"/>
    <w:link w:val="2"/>
    <w:qFormat/>
    <w:uiPriority w:val="9"/>
    <w:rPr>
      <w:rFonts w:ascii="仿宋" w:hAnsi="仿宋" w:eastAsia="黑体" w:cs="仿宋"/>
      <w:b/>
      <w:bCs/>
      <w:color w:val="000000" w:themeColor="text1"/>
      <w:sz w:val="21"/>
      <w:szCs w:val="32"/>
      <w:lang w:val="en-US" w:eastAsia="en-US"/>
      <w14:textFill>
        <w14:solidFill>
          <w14:schemeClr w14:val="tx1"/>
        </w14:solidFill>
      </w14:textFill>
    </w:rPr>
  </w:style>
  <w:style w:type="character" w:customStyle="1" w:styleId="14">
    <w:name w:val="标题 2 Char"/>
    <w:basedOn w:val="11"/>
    <w:link w:val="3"/>
    <w:qFormat/>
    <w:uiPriority w:val="9"/>
    <w:rPr>
      <w:rFonts w:ascii="仿宋" w:hAnsi="仿宋" w:eastAsia="黑体" w:cs="仿宋"/>
      <w:b/>
      <w:bCs/>
      <w:color w:val="000000" w:themeColor="text1"/>
      <w:sz w:val="21"/>
      <w:szCs w:val="24"/>
      <w:lang w:val="en-US" w:eastAsia="en-US"/>
      <w14:textFill>
        <w14:solidFill>
          <w14:schemeClr w14:val="tx1"/>
        </w14:solidFill>
      </w14:textFill>
    </w:rPr>
  </w:style>
  <w:style w:type="character" w:customStyle="1" w:styleId="15">
    <w:name w:val="标题 3 Char"/>
    <w:basedOn w:val="11"/>
    <w:link w:val="4"/>
    <w:qFormat/>
    <w:uiPriority w:val="9"/>
    <w:rPr>
      <w:rFonts w:eastAsia="黑体" w:asciiTheme="majorHAnsi" w:hAnsiTheme="majorHAnsi" w:cstheme="majorBidi"/>
      <w:b/>
      <w:bCs/>
      <w:color w:val="000000" w:themeColor="text1"/>
      <w:sz w:val="21"/>
      <w:lang w:val="en-US" w:eastAsia="en-US"/>
      <w14:textFill>
        <w14:solidFill>
          <w14:schemeClr w14:val="tx1"/>
        </w14:solidFill>
      </w14:textFill>
    </w:rPr>
  </w:style>
  <w:style w:type="character" w:customStyle="1" w:styleId="16">
    <w:name w:val="页眉 Char"/>
    <w:basedOn w:val="11"/>
    <w:link w:val="8"/>
    <w:qFormat/>
    <w:uiPriority w:val="0"/>
    <w:rPr>
      <w:rFonts w:asciiTheme="minorHAnsi" w:hAnsiTheme="minorHAnsi" w:eastAsiaTheme="minorEastAsia" w:cstheme="minorBidi"/>
      <w:kern w:val="2"/>
      <w:sz w:val="18"/>
      <w:szCs w:val="18"/>
    </w:rPr>
  </w:style>
  <w:style w:type="character" w:customStyle="1" w:styleId="17">
    <w:name w:val="页脚 Char"/>
    <w:basedOn w:val="11"/>
    <w:link w:val="7"/>
    <w:qFormat/>
    <w:uiPriority w:val="0"/>
    <w:rPr>
      <w:rFonts w:asciiTheme="minorHAnsi" w:hAnsiTheme="minorHAnsi" w:eastAsiaTheme="minorEastAsia" w:cstheme="minorBidi"/>
      <w:kern w:val="2"/>
      <w:sz w:val="18"/>
      <w:szCs w:val="18"/>
    </w:rPr>
  </w:style>
  <w:style w:type="character" w:customStyle="1" w:styleId="18">
    <w:name w:val="批注文字 Char"/>
    <w:basedOn w:val="11"/>
    <w:link w:val="5"/>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9"/>
    <w:qFormat/>
    <w:uiPriority w:val="0"/>
    <w:rPr>
      <w:rFonts w:asciiTheme="minorHAnsi" w:hAnsiTheme="minorHAnsi" w:eastAsiaTheme="minorEastAsia" w:cstheme="minorBidi"/>
      <w:b/>
      <w:bCs/>
      <w:kern w:val="2"/>
      <w:sz w:val="21"/>
      <w:szCs w:val="24"/>
    </w:rPr>
  </w:style>
  <w:style w:type="character" w:customStyle="1" w:styleId="20">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PKU</Company>
  <Pages>8</Pages>
  <Words>935</Words>
  <Characters>5332</Characters>
  <Lines>44</Lines>
  <Paragraphs>12</Paragraphs>
  <TotalTime>22</TotalTime>
  <ScaleCrop>false</ScaleCrop>
  <LinksUpToDate>false</LinksUpToDate>
  <CharactersWithSpaces>6255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2019-12-05T08:11:00Z</dcterms:created>
  <dc:creator>万子义</dc:creator>
  <cp:lastModifiedBy>雨红</cp:lastModifiedBy>
  <dcterms:modified xsi:type="dcterms:W3CDTF">2022-04-24T07:09:22Z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EB3E084F5A5E4AD28CF45E7352ECB28B</vt:lpwstr>
  </property>
</Properties>
</file>