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895732474"/>
      </w:sdtPr>
      <w:sdtEndPr>
        <w:rPr>
          <w:rFonts w:ascii="黑体" w:hAnsi="黑体" w:eastAsia="黑体"/>
          <w:w w:val="105"/>
          <w:sz w:val="36"/>
        </w:rPr>
      </w:sdtEndPr>
      <w:sdtContent>
        <w:p>
          <w:pPr>
            <w:rPr>
              <w:rFonts w:ascii="黑体" w:hAnsi="黑体" w:eastAsia="黑体"/>
            </w:rPr>
          </w:pPr>
          <w:r>
            <w:rPr>
              <w:rFonts w:ascii="黑体" w:hAnsi="黑体" w:eastAsia="黑体"/>
            </w:rPr>
            <w:t>ICS 11.040.40</w:t>
          </w:r>
        </w:p>
        <w:p>
          <w:pPr>
            <w:rPr>
              <w:rFonts w:ascii="黑体" w:hAnsi="黑体" w:eastAsia="黑体"/>
            </w:rPr>
          </w:pPr>
          <w:r>
            <w:rPr>
              <w:rFonts w:ascii="黑体" w:hAnsi="黑体" w:eastAsia="黑体"/>
            </w:rPr>
            <w:t>C45</w:t>
          </w:r>
        </w:p>
        <w:p/>
        <w:p/>
        <w:p/>
        <w:p>
          <w:pPr>
            <w:rPr>
              <w:w w:val="105"/>
            </w:rPr>
          </w:pPr>
        </w:p>
        <w:p>
          <w:pPr>
            <w:widowControl/>
            <w:jc w:val="center"/>
            <w:rPr>
              <w:rFonts w:ascii="黑体" w:hAnsi="黑体" w:eastAsia="黑体"/>
              <w:w w:val="105"/>
              <w:sz w:val="84"/>
              <w:szCs w:val="84"/>
            </w:rPr>
          </w:pPr>
          <w:r>
            <w:rPr>
              <w:rFonts w:hint="eastAsia" w:ascii="黑体" w:hAnsi="黑体" w:eastAsia="黑体"/>
              <w:w w:val="105"/>
              <w:sz w:val="84"/>
              <w:szCs w:val="84"/>
            </w:rPr>
            <w:t xml:space="preserve">团 </w:t>
          </w:r>
          <w:r>
            <w:rPr>
              <w:rFonts w:ascii="黑体" w:hAnsi="黑体" w:eastAsia="黑体"/>
              <w:w w:val="105"/>
              <w:sz w:val="84"/>
              <w:szCs w:val="84"/>
            </w:rPr>
            <w:t xml:space="preserve"> </w:t>
          </w:r>
          <w:r>
            <w:rPr>
              <w:rFonts w:hint="eastAsia" w:ascii="黑体" w:hAnsi="黑体" w:eastAsia="黑体"/>
              <w:w w:val="105"/>
              <w:sz w:val="84"/>
              <w:szCs w:val="84"/>
            </w:rPr>
            <w:t xml:space="preserve">体 </w:t>
          </w:r>
          <w:r>
            <w:rPr>
              <w:rFonts w:ascii="黑体" w:hAnsi="黑体" w:eastAsia="黑体"/>
              <w:w w:val="105"/>
              <w:sz w:val="84"/>
              <w:szCs w:val="84"/>
            </w:rPr>
            <w:t xml:space="preserve"> </w:t>
          </w:r>
          <w:r>
            <w:rPr>
              <w:rFonts w:hint="eastAsia" w:ascii="黑体" w:hAnsi="黑体" w:eastAsia="黑体"/>
              <w:w w:val="105"/>
              <w:sz w:val="84"/>
              <w:szCs w:val="84"/>
            </w:rPr>
            <w:t xml:space="preserve">标 </w:t>
          </w:r>
          <w:r>
            <w:rPr>
              <w:rFonts w:ascii="黑体" w:hAnsi="黑体" w:eastAsia="黑体"/>
              <w:w w:val="105"/>
              <w:sz w:val="84"/>
              <w:szCs w:val="84"/>
            </w:rPr>
            <w:t xml:space="preserve"> </w:t>
          </w:r>
          <w:r>
            <w:rPr>
              <w:rFonts w:hint="eastAsia" w:ascii="黑体" w:hAnsi="黑体" w:eastAsia="黑体"/>
              <w:w w:val="105"/>
              <w:sz w:val="84"/>
              <w:szCs w:val="84"/>
            </w:rPr>
            <w:t>准</w:t>
          </w:r>
        </w:p>
        <w:p>
          <w:pPr>
            <w:widowControl/>
            <w:jc w:val="center"/>
            <w:rPr>
              <w:rFonts w:ascii="黑体" w:hAnsi="黑体" w:eastAsia="黑体"/>
              <w:w w:val="105"/>
              <w:sz w:val="28"/>
              <w:szCs w:val="28"/>
            </w:rPr>
          </w:pPr>
          <w:r>
            <w:rPr>
              <w:rFonts w:hint="eastAsia" w:ascii="黑体" w:hAnsi="黑体" w:eastAsia="黑体"/>
              <w:w w:val="105"/>
              <w:sz w:val="84"/>
              <w:szCs w:val="84"/>
            </w:rPr>
            <w:t xml:space="preserve"> </w:t>
          </w:r>
          <w:r>
            <w:rPr>
              <w:rFonts w:ascii="黑体" w:hAnsi="黑体" w:eastAsia="黑体"/>
              <w:w w:val="105"/>
              <w:sz w:val="84"/>
              <w:szCs w:val="84"/>
            </w:rPr>
            <w:t xml:space="preserve">    </w:t>
          </w:r>
          <w:r>
            <w:rPr>
              <w:rFonts w:ascii="黑体" w:hAnsi="黑体" w:eastAsia="黑体"/>
              <w:w w:val="105"/>
              <w:sz w:val="84"/>
              <w:szCs w:val="84"/>
            </w:rPr>
            <w:tab/>
          </w:r>
          <w:r>
            <w:rPr>
              <w:rFonts w:ascii="黑体" w:hAnsi="黑体" w:eastAsia="黑体"/>
              <w:w w:val="105"/>
              <w:sz w:val="84"/>
              <w:szCs w:val="84"/>
            </w:rPr>
            <w:t xml:space="preserve">       </w:t>
          </w:r>
          <w:r>
            <w:rPr>
              <w:rFonts w:ascii="黑体" w:hAnsi="黑体" w:eastAsia="黑体" w:cs="Times New Roman"/>
              <w:w w:val="105"/>
              <w:sz w:val="28"/>
              <w:szCs w:val="28"/>
            </w:rPr>
            <w:t>T/CSBM XXXX-XXXX</w:t>
          </w:r>
        </w:p>
        <w:p>
          <w:pPr>
            <w:widowControl/>
            <w:jc w:val="center"/>
            <w:rPr>
              <w:rFonts w:ascii="宋体" w:hAnsi="宋体"/>
              <w:w w:val="105"/>
              <w:sz w:val="24"/>
            </w:rPr>
          </w:pP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102870</wp:posOffset>
                    </wp:positionV>
                    <wp:extent cx="5319395" cy="3810"/>
                    <wp:effectExtent l="0" t="0" r="0" b="0"/>
                    <wp:wrapNone/>
                    <wp:docPr id="1" name="直线 2"/>
                    <wp:cNvGraphicFramePr/>
                    <a:graphic xmlns:a="http://schemas.openxmlformats.org/drawingml/2006/main">
                      <a:graphicData uri="http://schemas.microsoft.com/office/word/2010/wordprocessingShape">
                        <wps:wsp>
                          <wps:cNvCnPr/>
                          <wps:spPr>
                            <a:xfrm flipV="1">
                              <a:off x="0" y="0"/>
                              <a:ext cx="5319395" cy="381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id="直线 2" o:spid="_x0000_s1026" o:spt="20" style="position:absolute;left:0pt;flip:y;margin-left:-2.15pt;margin-top:8.1pt;height:0.3pt;width:418.85pt;z-index:251661312;mso-width-relative:page;mso-height-relative:page;" filled="f" stroked="t" coordsize="21600,21600" o:gfxdata="UEsDBAoAAAAAAIdO4kAAAAAAAAAAAAAAAAAEAAAAZHJzL1BLAwQUAAAACACHTuJADkyqwtYAAAAI&#10;AQAADwAAAGRycy9kb3ducmV2LnhtbE2PzU7DMBCE70i8g7VI3Frnp5QQ4vSAxJFDQw/05sbbOBCv&#10;o9hNC0/P9gTHnRnNflNtLm4QM06h96QgXSYgkFpveuoU7N5fFwWIEDUZPXhCBd8YYFPf3lS6NP5M&#10;W5yb2AkuoVBqBTbGsZQytBadDks/IrF39JPTkc+pk2bSZy53g8ySZC2d7ok/WD3ii8X2qzk5BU2a&#10;otznT/Hz7fjxEx/29jGbt0rd36XJM4iIl/gXhis+o0PNTAd/IhPEoGCxyjnJ+joDwX6R5ysQh6tQ&#10;gKwr+X9A/QtQSwMEFAAAAAgAh07iQK6IJXLuAQAA5wMAAA4AAABkcnMvZTJvRG9jLnhtbK1TyY4T&#10;MRC9I/EPlu+ksyhoppXOHCYMFwSRWO4VL2lL3uTypJNv4Tc4ceFz5jcou0OA4ZIDfWiVa3lV77m8&#10;ujs6yw4qoQm+47PJlDPlRZDG7zv++dPDqxvOMIOXYINXHT8p5Hfrly9WQ2zVPPTBSpUYgXhsh9jx&#10;PufYNg2KXjnASYjKU1CH5CDTMe0bmWAgdGeb+XT6uhlCkjEFoRDJuxmD/IyYrgEMWhuhNkE8OuXz&#10;iJqUhUyUsDcR+bpOq7US+YPWqDKzHSemuf6pCdm78m/WK2j3CWJvxHkEuGaEZ5wcGE9NL1AbyMAe&#10;k/kHyhmRAgadJyK4ZiRSFSEWs+kzbT72EFXlQlJjvIiO/w9WvD9sEzOSNoEzD44u/Onrt6fvP9i8&#10;aDNEbCnl3m/T+YRxmwrRo06OaWvil1JaPESGHauyp4uy6piZIOdyMbtd3C45ExRb3Myq8M2IUmpj&#10;wvxWBceK0XFrfOENLRzeYabOlPorpbitZwO1vZ0u6R4F0BZqun0yXSQm6Pe1GIM18sFYW0ow7Xf3&#10;NrEDlE2oXyFIwH+llS4bwH7Mq6FxR5zJqmgAba9AvvGS5VMktTw9El6mcUpyZhW9qWLVzAzGXpNJ&#10;Q1hPsxS1R32LtQvyVGWvfrr/Ou15V8uC/Xmu1b/f5/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kyqwtYAAAAIAQAADwAAAAAAAAABACAAAAAiAAAAZHJzL2Rvd25yZXYueG1sUEsBAhQAFAAAAAgA&#10;h07iQK6IJXLuAQAA5wMAAA4AAAAAAAAAAQAgAAAAJQEAAGRycy9lMm9Eb2MueG1sUEsFBgAAAAAG&#10;AAYAWQEAAIUFAAAAAA==&#10;">
                    <v:fill on="f" focussize="0,0"/>
                    <v:stroke weight="1.5pt" color="#000000" joinstyle="miter"/>
                    <v:imagedata o:title=""/>
                    <o:lock v:ext="edit" aspectratio="f"/>
                  </v:line>
                </w:pict>
              </mc:Fallback>
            </mc:AlternateContent>
          </w:r>
        </w:p>
        <w:p>
          <w:pPr>
            <w:widowControl/>
            <w:jc w:val="left"/>
            <w:rPr>
              <w:rFonts w:ascii="黑体" w:hAnsi="黑体" w:eastAsia="黑体"/>
              <w:w w:val="105"/>
              <w:sz w:val="36"/>
            </w:rPr>
          </w:pPr>
        </w:p>
        <w:p>
          <w:pPr>
            <w:widowControl/>
            <w:jc w:val="left"/>
            <w:rPr>
              <w:rFonts w:ascii="黑体" w:hAnsi="黑体" w:eastAsia="黑体"/>
              <w:w w:val="105"/>
              <w:sz w:val="36"/>
            </w:rPr>
          </w:pPr>
        </w:p>
        <w:p>
          <w:pPr>
            <w:widowControl/>
            <w:jc w:val="left"/>
            <w:rPr>
              <w:rFonts w:ascii="黑体" w:hAnsi="黑体" w:eastAsia="黑体"/>
              <w:w w:val="105"/>
              <w:sz w:val="36"/>
            </w:rPr>
          </w:pPr>
        </w:p>
        <w:p>
          <w:pPr>
            <w:widowControl/>
            <w:jc w:val="center"/>
            <w:rPr>
              <w:rFonts w:ascii="黑体" w:hAnsi="黑体" w:eastAsia="黑体"/>
              <w:w w:val="105"/>
              <w:sz w:val="52"/>
              <w:szCs w:val="52"/>
            </w:rPr>
          </w:pPr>
          <w:r>
            <w:rPr>
              <w:rFonts w:hint="eastAsia" w:ascii="黑体" w:hAnsi="黑体" w:eastAsia="黑体"/>
              <w:w w:val="105"/>
              <w:sz w:val="52"/>
              <w:szCs w:val="52"/>
            </w:rPr>
            <w:t>全降解镁合金药物洗脱支架毒代动力学试验方法</w:t>
          </w:r>
        </w:p>
        <w:p>
          <w:pPr>
            <w:widowControl/>
            <w:jc w:val="center"/>
            <w:rPr>
              <w:rFonts w:ascii="黑体" w:hAnsi="黑体" w:eastAsia="黑体"/>
              <w:w w:val="105"/>
              <w:sz w:val="28"/>
              <w:szCs w:val="28"/>
            </w:rPr>
          </w:pPr>
          <w:r>
            <w:rPr>
              <w:rFonts w:ascii="黑体" w:hAnsi="黑体" w:eastAsia="黑体" w:cs="Times New Roman"/>
              <w:w w:val="105"/>
              <w:sz w:val="28"/>
              <w:szCs w:val="28"/>
            </w:rPr>
            <w:t>Toxicokinetics study of bioresorbable magnesium drug-eluting stents</w:t>
          </w:r>
        </w:p>
        <w:p>
          <w:pPr>
            <w:widowControl/>
            <w:jc w:val="center"/>
            <w:rPr>
              <w:rFonts w:ascii="黑体" w:hAnsi="黑体" w:eastAsia="黑体"/>
              <w:w w:val="105"/>
              <w:sz w:val="28"/>
              <w:szCs w:val="28"/>
            </w:rPr>
          </w:pPr>
          <w:r>
            <w:rPr>
              <w:rFonts w:ascii="黑体" w:hAnsi="黑体" w:eastAsia="黑体"/>
              <w:w w:val="105"/>
              <w:sz w:val="28"/>
              <w:szCs w:val="28"/>
            </w:rPr>
            <w:t>(征求意见稿)</w:t>
          </w:r>
        </w:p>
        <w:p>
          <w:pPr>
            <w:widowControl/>
            <w:jc w:val="center"/>
            <w:rPr>
              <w:rFonts w:ascii="黑体" w:hAnsi="黑体" w:eastAsia="黑体"/>
              <w:w w:val="105"/>
              <w:sz w:val="44"/>
              <w:szCs w:val="44"/>
            </w:rPr>
          </w:pPr>
        </w:p>
        <w:p>
          <w:pPr>
            <w:widowControl/>
            <w:jc w:val="center"/>
            <w:rPr>
              <w:rFonts w:ascii="黑体" w:hAnsi="黑体" w:eastAsia="黑体"/>
              <w:w w:val="105"/>
              <w:sz w:val="44"/>
              <w:szCs w:val="44"/>
            </w:rPr>
          </w:pPr>
        </w:p>
        <w:p>
          <w:pPr>
            <w:widowControl/>
            <w:jc w:val="center"/>
            <w:rPr>
              <w:rFonts w:ascii="黑体" w:hAnsi="黑体" w:eastAsia="黑体"/>
              <w:w w:val="105"/>
              <w:sz w:val="44"/>
              <w:szCs w:val="44"/>
            </w:rPr>
          </w:pPr>
        </w:p>
        <w:p>
          <w:pPr>
            <w:widowControl/>
            <w:jc w:val="center"/>
            <w:rPr>
              <w:rFonts w:ascii="黑体" w:hAnsi="黑体" w:eastAsia="黑体"/>
              <w:w w:val="105"/>
              <w:sz w:val="44"/>
              <w:szCs w:val="44"/>
            </w:rPr>
          </w:pPr>
        </w:p>
        <w:p>
          <w:pPr>
            <w:widowControl/>
            <w:rPr>
              <w:rFonts w:ascii="黑体" w:hAnsi="黑体" w:eastAsia="黑体"/>
              <w:w w:val="105"/>
              <w:sz w:val="28"/>
              <w:szCs w:val="28"/>
            </w:rPr>
          </w:pPr>
          <w:r>
            <w:rPr>
              <w:rFonts w:hint="eastAsia" w:ascii="黑体" w:hAnsi="黑体" w:eastAsia="黑体"/>
              <w:w w:val="105"/>
              <w:sz w:val="28"/>
              <w:szCs w:val="28"/>
            </w:rPr>
            <w:t>X</w:t>
          </w:r>
          <w:r>
            <w:rPr>
              <w:rFonts w:ascii="黑体" w:hAnsi="黑体" w:eastAsia="黑体"/>
              <w:w w:val="105"/>
              <w:sz w:val="28"/>
              <w:szCs w:val="28"/>
            </w:rPr>
            <w:t>XXX-XX-XX</w:t>
          </w:r>
          <w:r>
            <w:rPr>
              <w:rFonts w:hint="eastAsia" w:ascii="黑体" w:hAnsi="黑体" w:eastAsia="黑体"/>
              <w:w w:val="105"/>
              <w:sz w:val="28"/>
              <w:szCs w:val="28"/>
            </w:rPr>
            <w:t xml:space="preserve">发布 </w:t>
          </w:r>
          <w:r>
            <w:rPr>
              <w:rFonts w:ascii="黑体" w:hAnsi="黑体" w:eastAsia="黑体"/>
              <w:w w:val="105"/>
              <w:sz w:val="28"/>
              <w:szCs w:val="28"/>
            </w:rPr>
            <w:t xml:space="preserve">                          XXXX-XX-XX</w:t>
          </w:r>
          <w:r>
            <w:rPr>
              <w:rFonts w:hint="eastAsia" w:ascii="黑体" w:hAnsi="黑体" w:eastAsia="黑体"/>
              <w:w w:val="105"/>
              <w:sz w:val="28"/>
              <w:szCs w:val="28"/>
            </w:rPr>
            <w:t>实施</w:t>
          </w:r>
        </w:p>
        <w:p>
          <w:pPr>
            <w:widowControl/>
            <w:jc w:val="center"/>
            <w:rPr>
              <w:rFonts w:ascii="黑体" w:hAnsi="黑体" w:eastAsia="黑体"/>
              <w:w w:val="105"/>
              <w:sz w:val="36"/>
            </w:rPr>
          </w:pP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10795</wp:posOffset>
                    </wp:positionV>
                    <wp:extent cx="5288915" cy="3810"/>
                    <wp:effectExtent l="0" t="0" r="0" b="0"/>
                    <wp:wrapNone/>
                    <wp:docPr id="2" name="直线 3"/>
                    <wp:cNvGraphicFramePr/>
                    <a:graphic xmlns:a="http://schemas.openxmlformats.org/drawingml/2006/main">
                      <a:graphicData uri="http://schemas.microsoft.com/office/word/2010/wordprocessingShape">
                        <wps:wsp>
                          <wps:cNvCnPr/>
                          <wps:spPr>
                            <a:xfrm>
                              <a:off x="0" y="0"/>
                              <a:ext cx="5288915" cy="381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线 3" o:spid="_x0000_s1026" o:spt="20" style="position:absolute;left:0pt;margin-left:0pt;margin-top:0.85pt;height:0.3pt;width:416.45pt;z-index:251662336;mso-width-relative:page;mso-height-relative:page;" filled="f" stroked="t" coordsize="21600,21600" o:gfxdata="UEsDBAoAAAAAAIdO4kAAAAAAAAAAAAAAAAAEAAAAZHJzL1BLAwQUAAAACACHTuJAflNmUNYAAAAE&#10;AQAADwAAAGRycy9kb3ducmV2LnhtbE2PwU7DMBBE70j8g7VIvVGnCaIlxKkQVcWBU0sFHN14SaLG&#10;68h207Rfz3Iqx50ZzbwtlqPtxIA+tI4UzKYJCKTKmZZqBbuP9f0CRIiajO4coYIzBliWtzeFzo07&#10;0QaHbawFl1DItYImxj6XMlQNWh2mrkdi78d5qyOfvpbG6xOX206mSfIorW6JFxrd42uD1WF7tAo+&#10;X+aHbHxbPazjZvft3ZC94+VLqcndLHkGEXGM1zD84TM6lMy0d0cyQXQK+JHI6hwEm4ssfQKxV5Bm&#10;IMtC/ocvfwFQSwMEFAAAAAgAh07iQGArLyDqAQAA3QMAAA4AAABkcnMvZTJvRG9jLnhtbK1TzY7T&#10;MBC+I/EOlu80bVYLJWq6hy3LBUEl4AGmtpNY8p883qZ9Fl6DExceZ1+DsdPtwnLpYXNwxjPjz/N9&#10;M17dHKxhexVRe9fyxWzOmXLCS+36ln//dvdmyRkmcBKMd6rlR4X8Zv361WoMjar94I1UkRGIw2YM&#10;LR9SCk1VoRiUBZz5oBwFOx8tJNrGvpIRRkK3pqrn87fV6KMM0QuFSN7NFOQnxHgJoO86LdTGi3ur&#10;XJpQozKQiBIOOiBfl2q7Ton0petQJWZaTkxTWekSsnd5rdYraPoIYdDiVAJcUsIzTha0o0vPUBtI&#10;wO6j/g/KahE9+i7NhLfVRKQoQiwW82fafB0gqMKFpMZwFh1fDlZ83m8j07LlNWcOLDX84cfPh1+/&#10;2VXWZgzYUMqt28bTDsM2ZqKHLtr8JwrsUPQ8nvVUh8QEOa/r5fL94pozQbGr5aLIXT2dDRHTR+Ut&#10;y0bLjXaZLTSw/4SJ7qPUx5TsNo6NNLH1uzl1TwDNXkc9J9MGqh9dXw6jN1reaWPyEYz97tZEtofc&#10;//JlWgT8T1q+ZQM4THklNE2G1Ull5tAMCuQHJ1k6BtLI0dPguRqrJGdG0UvKVslMoM0lmVSEcVRL&#10;1nhSNVs7L49F7OKnrpdqTxOax+rvfTn99Cr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2ZQ&#10;1gAAAAQBAAAPAAAAAAAAAAEAIAAAACIAAABkcnMvZG93bnJldi54bWxQSwECFAAUAAAACACHTuJA&#10;YCsvIOoBAADdAwAADgAAAAAAAAABACAAAAAlAQAAZHJzL2Uyb0RvYy54bWxQSwUGAAAAAAYABgBZ&#10;AQAAgQUAAAAA&#10;">
                    <v:fill on="f" focussize="0,0"/>
                    <v:stroke weight="1pt" color="#000000" joinstyle="miter"/>
                    <v:imagedata o:title=""/>
                    <o:lock v:ext="edit" aspectratio="f"/>
                  </v:line>
                </w:pict>
              </mc:Fallback>
            </mc:AlternateContent>
          </w:r>
          <w:r>
            <w:rPr>
              <w:rFonts w:hint="eastAsia" w:ascii="黑体" w:hAnsi="黑体" w:eastAsia="黑体"/>
              <w:w w:val="105"/>
              <w:sz w:val="28"/>
              <w:szCs w:val="28"/>
            </w:rPr>
            <w:t>中国生物材料学会 发布</w:t>
          </w:r>
        </w:p>
      </w:sdtContent>
    </w:sdt>
    <w:p>
      <w:pPr>
        <w:rPr>
          <w:rFonts w:ascii="黑体" w:hAnsi="黑体" w:eastAsia="黑体" w:cs="黑体"/>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jc w:val="center"/>
        <w:rPr>
          <w:rFonts w:ascii="黑体" w:hAnsi="黑体" w:eastAsia="黑体" w:cs="黑体"/>
          <w:sz w:val="32"/>
          <w:szCs w:val="32"/>
        </w:rPr>
      </w:pPr>
      <w:r>
        <w:rPr>
          <w:rFonts w:hint="eastAsia" w:ascii="黑体" w:hAnsi="黑体" w:eastAsia="黑体" w:cs="黑体"/>
          <w:sz w:val="32"/>
          <w:szCs w:val="32"/>
        </w:rPr>
        <w:t xml:space="preserve">目 </w:t>
      </w:r>
      <w:r>
        <w:rPr>
          <w:rFonts w:ascii="黑体" w:hAnsi="黑体" w:eastAsia="黑体" w:cs="黑体"/>
          <w:sz w:val="32"/>
          <w:szCs w:val="32"/>
        </w:rPr>
        <w:t xml:space="preserve"> </w:t>
      </w:r>
      <w:r>
        <w:rPr>
          <w:rFonts w:hint="eastAsia" w:ascii="黑体" w:hAnsi="黑体" w:eastAsia="黑体" w:cs="黑体"/>
          <w:sz w:val="32"/>
          <w:szCs w:val="32"/>
        </w:rPr>
        <w:t>次</w:t>
      </w:r>
    </w:p>
    <w:p/>
    <w:sdt>
      <w:sdtPr>
        <w:rPr>
          <w:rFonts w:ascii="宋体" w:hAnsi="宋体" w:eastAsia="宋体"/>
        </w:rPr>
        <w:id w:val="147457439"/>
        <w15:color w:val="DBDBDB"/>
        <w:docPartObj>
          <w:docPartGallery w:val="Table of Contents"/>
          <w:docPartUnique/>
        </w:docPartObj>
      </w:sdtPr>
      <w:sdtEndPr>
        <w:rPr>
          <w:rFonts w:ascii="宋体" w:hAnsi="宋体" w:eastAsia="宋体"/>
        </w:rPr>
      </w:sdtEndPr>
      <w:sdtContent>
        <w:p>
          <w:pPr>
            <w:jc w:val="center"/>
          </w:pPr>
        </w:p>
        <w:p>
          <w:pPr>
            <w:pStyle w:val="10"/>
            <w:tabs>
              <w:tab w:val="right" w:leader="dot" w:pos="8296"/>
            </w:tabs>
            <w:spacing w:before="78" w:beforeLines="25" w:after="78" w:afterLines="25"/>
          </w:pPr>
          <w:r>
            <w:rPr>
              <w:rFonts w:ascii="Times New Roman" w:hAnsi="Times New Roman" w:eastAsia="宋体" w:cs="Times New Roman"/>
              <w:kern w:val="0"/>
              <w:sz w:val="20"/>
              <w:szCs w:val="20"/>
            </w:rPr>
            <w:fldChar w:fldCharType="begin"/>
          </w:r>
          <w:r>
            <w:instrText xml:space="preserve">TOC \o "1-1" \h \u </w:instrText>
          </w:r>
          <w:r>
            <w:rPr>
              <w:rFonts w:ascii="Times New Roman" w:hAnsi="Times New Roman" w:eastAsia="宋体" w:cs="Times New Roman"/>
              <w:kern w:val="0"/>
              <w:sz w:val="20"/>
              <w:szCs w:val="20"/>
            </w:rPr>
            <w:fldChar w:fldCharType="separate"/>
          </w:r>
          <w:r>
            <w:fldChar w:fldCharType="begin"/>
          </w:r>
          <w:r>
            <w:instrText xml:space="preserve"> HYPERLINK \l "_Toc36220567" </w:instrText>
          </w:r>
          <w:r>
            <w:fldChar w:fldCharType="separate"/>
          </w:r>
          <w:r>
            <w:rPr>
              <w:rStyle w:val="16"/>
            </w:rPr>
            <w:t>前</w:t>
          </w:r>
          <w:r>
            <w:rPr>
              <w:rStyle w:val="16"/>
              <w:rFonts w:hint="eastAsia"/>
            </w:rPr>
            <w:t xml:space="preserve"> </w:t>
          </w:r>
          <w:r>
            <w:rPr>
              <w:rStyle w:val="16"/>
            </w:rPr>
            <w:t xml:space="preserve"> 言</w:t>
          </w:r>
          <w:r>
            <w:tab/>
          </w:r>
          <w:r>
            <w:fldChar w:fldCharType="begin"/>
          </w:r>
          <w:r>
            <w:instrText xml:space="preserve"> PAGEREF _Toc36220567 \h </w:instrText>
          </w:r>
          <w:r>
            <w:fldChar w:fldCharType="separate"/>
          </w:r>
          <w:r>
            <w:t>II</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"_Toc36220568" </w:instrText>
          </w:r>
          <w:r>
            <w:fldChar w:fldCharType="separate"/>
          </w:r>
          <w:r>
            <w:rPr>
              <w:rStyle w:val="16"/>
              <w:rFonts w:ascii="黑体" w:hAnsi="黑体" w:cs="黑体"/>
            </w:rPr>
            <w:t>1 范围</w:t>
          </w:r>
          <w:r>
            <w:tab/>
          </w:r>
          <w:r>
            <w:fldChar w:fldCharType="begin"/>
          </w:r>
          <w:r>
            <w:instrText xml:space="preserve"> PAGEREF _Toc36220568 \h </w:instrText>
          </w:r>
          <w:r>
            <w:fldChar w:fldCharType="separate"/>
          </w:r>
          <w:r>
            <w:t>1</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"_Toc36220569" </w:instrText>
          </w:r>
          <w:r>
            <w:fldChar w:fldCharType="separate"/>
          </w:r>
          <w:r>
            <w:rPr>
              <w:rStyle w:val="16"/>
            </w:rPr>
            <w:t>2 规范性引用文件</w:t>
          </w:r>
          <w:r>
            <w:tab/>
          </w:r>
          <w:r>
            <w:fldChar w:fldCharType="begin"/>
          </w:r>
          <w:r>
            <w:instrText xml:space="preserve"> PAGEREF _Toc36220569 \h </w:instrText>
          </w:r>
          <w:r>
            <w:fldChar w:fldCharType="separate"/>
          </w:r>
          <w:r>
            <w:t>1</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"_Toc36220570" </w:instrText>
          </w:r>
          <w:r>
            <w:fldChar w:fldCharType="separate"/>
          </w:r>
          <w:r>
            <w:rPr>
              <w:rStyle w:val="16"/>
            </w:rPr>
            <w:t>3 术语和定义</w:t>
          </w:r>
          <w:r>
            <w:tab/>
          </w:r>
          <w:r>
            <w:fldChar w:fldCharType="begin"/>
          </w:r>
          <w:r>
            <w:instrText xml:space="preserve"> PAGEREF _Toc36220570 \h </w:instrText>
          </w:r>
          <w:r>
            <w:fldChar w:fldCharType="separate"/>
          </w:r>
          <w:r>
            <w:t>1</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"_Toc36220571" </w:instrText>
          </w:r>
          <w:r>
            <w:fldChar w:fldCharType="separate"/>
          </w:r>
          <w:r>
            <w:rPr>
              <w:rStyle w:val="16"/>
            </w:rPr>
            <w:t>4 符号与缩略语</w:t>
          </w:r>
          <w:r>
            <w:tab/>
          </w:r>
          <w:r>
            <w:fldChar w:fldCharType="begin"/>
          </w:r>
          <w:r>
            <w:instrText xml:space="preserve"> PAGEREF _Toc36220571 \h </w:instrText>
          </w:r>
          <w:r>
            <w:fldChar w:fldCharType="separate"/>
          </w:r>
          <w:r>
            <w:t>1</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"_Toc36220572" </w:instrText>
          </w:r>
          <w:r>
            <w:fldChar w:fldCharType="separate"/>
          </w:r>
          <w:r>
            <w:rPr>
              <w:rStyle w:val="16"/>
              <w:rFonts w:ascii="黑体" w:hAnsi="黑体"/>
            </w:rPr>
            <w:t>5 实验动物</w:t>
          </w:r>
          <w:r>
            <w:tab/>
          </w:r>
          <w:r>
            <w:fldChar w:fldCharType="begin"/>
          </w:r>
          <w:r>
            <w:instrText xml:space="preserve"> PAGEREF _Toc36220572 \h </w:instrText>
          </w:r>
          <w:r>
            <w:fldChar w:fldCharType="separate"/>
          </w:r>
          <w:r>
            <w:t>1</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"_Toc36220573" </w:instrText>
          </w:r>
          <w:r>
            <w:fldChar w:fldCharType="separate"/>
          </w:r>
          <w:r>
            <w:rPr>
              <w:rStyle w:val="16"/>
              <w:rFonts w:ascii="黑体" w:hAnsi="黑体"/>
            </w:rPr>
            <w:t>6 试验步骤</w:t>
          </w:r>
          <w:r>
            <w:tab/>
          </w:r>
          <w:r>
            <w:fldChar w:fldCharType="begin"/>
          </w:r>
          <w:r>
            <w:instrText xml:space="preserve"> PAGEREF _Toc36220573 \h </w:instrText>
          </w:r>
          <w:r>
            <w:fldChar w:fldCharType="separate"/>
          </w:r>
          <w:r>
            <w:t>1</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"_Toc36220574" </w:instrText>
          </w:r>
          <w:r>
            <w:fldChar w:fldCharType="separate"/>
          </w:r>
          <w:r>
            <w:rPr>
              <w:rStyle w:val="16"/>
              <w:rFonts w:ascii="黑体" w:hAnsi="黑体"/>
            </w:rPr>
            <w:t>7 试验报告</w:t>
          </w:r>
          <w:r>
            <w:tab/>
          </w:r>
          <w:r>
            <w:fldChar w:fldCharType="begin"/>
          </w:r>
          <w:r>
            <w:instrText xml:space="preserve"> PAGEREF _Toc36220574 \h </w:instrText>
          </w:r>
          <w:r>
            <w:fldChar w:fldCharType="separate"/>
          </w:r>
          <w:r>
            <w:t>3</w:t>
          </w:r>
          <w:r>
            <w:fldChar w:fldCharType="end"/>
          </w:r>
          <w:r>
            <w:fldChar w:fldCharType="end"/>
          </w:r>
        </w:p>
        <w:p>
          <w:pPr>
            <w:spacing w:before="78" w:beforeLines="25" w:after="78" w:afterLines="25"/>
          </w:pPr>
          <w:r>
            <w:fldChar w:fldCharType="end"/>
          </w:r>
        </w:p>
      </w:sdtContent>
    </w:sdt>
    <w:p>
      <w:r>
        <w:rPr>
          <w:rFonts w:hint="eastAsia"/>
        </w:rPr>
        <w:br w:type="page"/>
      </w:r>
    </w:p>
    <w:p>
      <w:pPr>
        <w:pStyle w:val="2"/>
        <w:jc w:val="center"/>
        <w:rPr>
          <w:rFonts w:hint="default"/>
          <w:sz w:val="32"/>
          <w:szCs w:val="32"/>
        </w:rPr>
      </w:pPr>
      <w:bookmarkStart w:id="0" w:name="_Toc36220567"/>
      <w:r>
        <w:rPr>
          <w:sz w:val="32"/>
          <w:szCs w:val="32"/>
        </w:rPr>
        <w:t xml:space="preserve">前 </w:t>
      </w:r>
      <w:r>
        <w:rPr>
          <w:rFonts w:hint="default"/>
          <w:sz w:val="32"/>
          <w:szCs w:val="32"/>
        </w:rPr>
        <w:t xml:space="preserve"> </w:t>
      </w:r>
      <w:r>
        <w:rPr>
          <w:sz w:val="32"/>
          <w:szCs w:val="32"/>
        </w:rPr>
        <w:t>言</w:t>
      </w:r>
      <w:bookmarkEnd w:id="0"/>
    </w:p>
    <w:p>
      <w:pPr>
        <w:ind w:firstLine="420" w:firstLineChars="200"/>
        <w:rPr>
          <w:rFonts w:ascii="宋体" w:hAnsi="宋体" w:eastAsia="宋体" w:cs="宋体"/>
        </w:rPr>
      </w:pPr>
      <w:r>
        <w:rPr>
          <w:rFonts w:hint="eastAsia" w:ascii="宋体" w:hAnsi="宋体" w:eastAsia="宋体" w:cs="宋体"/>
        </w:rPr>
        <w:t>本标准的某些内容有可能涉及专利。本标准的发布机构不应承担识别这些专利的责任。</w:t>
      </w:r>
    </w:p>
    <w:p>
      <w:pPr>
        <w:ind w:firstLine="420" w:firstLineChars="200"/>
        <w:rPr>
          <w:rFonts w:ascii="宋体" w:hAnsi="宋体" w:eastAsia="宋体" w:cs="宋体"/>
        </w:rPr>
      </w:pPr>
      <w:r>
        <w:rPr>
          <w:rFonts w:hint="eastAsia" w:ascii="宋体" w:hAnsi="宋体" w:eastAsia="宋体" w:cs="宋体"/>
        </w:rPr>
        <w:t>本标准参考</w:t>
      </w:r>
      <w:r>
        <w:rPr>
          <w:rFonts w:ascii="宋体" w:hAnsi="宋体" w:eastAsia="宋体" w:cs="宋体"/>
        </w:rPr>
        <w:t>GB/T 16886</w:t>
      </w:r>
      <w:r>
        <w:rPr>
          <w:rFonts w:hint="eastAsia" w:ascii="宋体" w:hAnsi="宋体" w:eastAsia="宋体" w:cs="宋体"/>
        </w:rPr>
        <w:t>.</w:t>
      </w:r>
      <w:r>
        <w:rPr>
          <w:rFonts w:ascii="宋体" w:hAnsi="宋体" w:eastAsia="宋体" w:cs="宋体"/>
        </w:rPr>
        <w:t>16-2013</w:t>
      </w:r>
      <w:r>
        <w:rPr>
          <w:rFonts w:hint="eastAsia" w:ascii="宋体" w:hAnsi="宋体" w:eastAsia="宋体" w:cs="宋体"/>
        </w:rPr>
        <w:t>《医疗器械生物学评价 第1</w:t>
      </w:r>
      <w:r>
        <w:rPr>
          <w:rFonts w:ascii="宋体" w:hAnsi="宋体" w:eastAsia="宋体" w:cs="宋体"/>
        </w:rPr>
        <w:t>6</w:t>
      </w:r>
      <w:r>
        <w:rPr>
          <w:rFonts w:hint="eastAsia" w:ascii="宋体" w:hAnsi="宋体" w:eastAsia="宋体" w:cs="宋体"/>
        </w:rPr>
        <w:t>部分：</w:t>
      </w:r>
      <w:bookmarkStart w:id="1" w:name="_Hlk36210024"/>
      <w:r>
        <w:rPr>
          <w:rFonts w:hint="eastAsia" w:ascii="宋体" w:hAnsi="宋体" w:eastAsia="宋体" w:cs="宋体"/>
        </w:rPr>
        <w:t>降解产物与可沥滤物毒代动力学研究设计</w:t>
      </w:r>
      <w:bookmarkEnd w:id="1"/>
      <w:r>
        <w:rPr>
          <w:rFonts w:hint="eastAsia" w:ascii="宋体" w:hAnsi="宋体" w:eastAsia="宋体" w:cs="宋体"/>
        </w:rPr>
        <w:t>》编制。</w:t>
      </w:r>
    </w:p>
    <w:p>
      <w:pPr>
        <w:ind w:firstLine="420" w:firstLineChars="200"/>
        <w:rPr>
          <w:rFonts w:ascii="宋体" w:hAnsi="宋体" w:eastAsia="宋体" w:cs="宋体"/>
        </w:rPr>
      </w:pPr>
      <w:r>
        <w:rPr>
          <w:rFonts w:hint="eastAsia" w:ascii="宋体" w:hAnsi="宋体" w:eastAsia="宋体" w:cs="宋体"/>
        </w:rPr>
        <w:t>本标准由上海美港沣沅医疗器械有限公司提出。</w:t>
      </w:r>
    </w:p>
    <w:p>
      <w:pPr>
        <w:ind w:firstLine="420" w:firstLineChars="200"/>
        <w:rPr>
          <w:rFonts w:ascii="宋体" w:hAnsi="宋体" w:eastAsia="宋体" w:cs="宋体"/>
        </w:rPr>
      </w:pPr>
      <w:r>
        <w:rPr>
          <w:rFonts w:hint="eastAsia" w:ascii="宋体" w:hAnsi="宋体" w:eastAsia="宋体" w:cs="宋体"/>
        </w:rPr>
        <w:t>本标准由中国生物材料学会归口。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eastAsia="宋体" w:cs="宋体"/>
        </w:rPr>
      </w:pPr>
      <w:r>
        <w:rPr>
          <w:rFonts w:hint="eastAsia" w:ascii="宋体" w:hAnsi="宋体" w:eastAsia="宋体" w:cs="宋体"/>
        </w:rPr>
        <w:t>本标准起草单位：上海美港沣沅医疗器械有限公司、中国食品药品检定研究院、国家北京药物安全评价研究中心、</w:t>
      </w:r>
      <w:r>
        <w:rPr>
          <w:rFonts w:ascii="宋体" w:hAnsi="宋体" w:eastAsia="宋体" w:cs="宋体"/>
        </w:rPr>
        <w:t>上海生物材料</w:t>
      </w:r>
      <w:r>
        <w:rPr>
          <w:rFonts w:hint="eastAsia" w:ascii="宋体" w:hAnsi="宋体" w:eastAsia="宋体" w:cs="宋体"/>
        </w:rPr>
        <w:t>研究测试中心、</w:t>
      </w:r>
      <w:r>
        <w:rPr>
          <w:rFonts w:ascii="宋体" w:hAnsi="宋体" w:eastAsia="宋体" w:cs="宋体"/>
        </w:rPr>
        <w:t>北京大学</w:t>
      </w:r>
      <w:r>
        <w:rPr>
          <w:rFonts w:hint="eastAsia" w:ascii="宋体" w:hAnsi="宋体" w:eastAsia="宋体" w:cs="宋体"/>
        </w:rPr>
        <w:t>。</w:t>
      </w:r>
    </w:p>
    <w:p>
      <w:pPr>
        <w:ind w:firstLine="420" w:firstLineChars="200"/>
        <w:rPr>
          <w:rFonts w:ascii="宋体" w:hAnsi="宋体" w:eastAsia="宋体" w:cs="宋体"/>
        </w:rPr>
      </w:pPr>
      <w:r>
        <w:rPr>
          <w:rFonts w:hint="eastAsia" w:ascii="宋体" w:hAnsi="宋体" w:eastAsia="宋体" w:cs="宋体"/>
        </w:rPr>
        <w:t>本标准起草人：奚廷斐、魏利娜、关勇彪、万子义、孙皎、成艳。</w:t>
      </w:r>
    </w:p>
    <w:p>
      <w:pPr>
        <w:pStyle w:val="2"/>
        <w:rPr>
          <w:rFonts w:hint="default" w:ascii="黑体" w:hAnsi="黑体" w:cs="黑体"/>
          <w:szCs w:val="21"/>
        </w:rPr>
        <w:sectPr>
          <w:footerReference r:id="rId4" w:type="default"/>
          <w:pgSz w:w="11906" w:h="16838"/>
          <w:pgMar w:top="1440" w:right="1800" w:bottom="1440" w:left="1800" w:header="851" w:footer="992" w:gutter="0"/>
          <w:pgNumType w:fmt="upperRoman" w:start="1"/>
          <w:cols w:space="425" w:num="1"/>
          <w:docGrid w:type="lines" w:linePitch="312" w:charSpace="0"/>
        </w:sectPr>
      </w:pPr>
    </w:p>
    <w:p>
      <w:pPr>
        <w:pStyle w:val="2"/>
        <w:jc w:val="center"/>
        <w:rPr>
          <w:rFonts w:hint="default" w:ascii="黑体" w:hAnsi="黑体" w:cs="黑体"/>
          <w:sz w:val="32"/>
          <w:szCs w:val="32"/>
        </w:rPr>
      </w:pPr>
      <w:bookmarkStart w:id="2" w:name="_Toc36220568"/>
      <w:r>
        <w:rPr>
          <w:rFonts w:ascii="黑体" w:hAnsi="黑体" w:cs="黑体"/>
          <w:sz w:val="32"/>
          <w:szCs w:val="32"/>
        </w:rPr>
        <w:t>全降解镁合金药物洗脱支架毒代动力学试验方法</w:t>
      </w:r>
    </w:p>
    <w:p>
      <w:pPr>
        <w:pStyle w:val="2"/>
        <w:rPr>
          <w:rFonts w:hint="default" w:ascii="黑体" w:hAnsi="黑体" w:cs="黑体"/>
          <w:szCs w:val="21"/>
        </w:rPr>
      </w:pPr>
      <w:r>
        <w:rPr>
          <w:rFonts w:ascii="黑体" w:hAnsi="黑体" w:cs="黑体"/>
          <w:szCs w:val="21"/>
        </w:rPr>
        <w:t>1 范围</w:t>
      </w:r>
      <w:bookmarkEnd w:id="2"/>
    </w:p>
    <w:p>
      <w:pPr>
        <w:ind w:firstLine="420" w:firstLineChars="200"/>
      </w:pPr>
      <w:r>
        <w:rPr>
          <w:rFonts w:hint="eastAsia"/>
        </w:rPr>
        <w:t>本标准给出了适用于经导管植入的用于治疗冠状动脉堵塞等病变的全降解镁合金药物洗脱支架的毒代动力学</w:t>
      </w:r>
      <w:r>
        <w:t>试验</w:t>
      </w:r>
      <w:r>
        <w:rPr>
          <w:rFonts w:hint="eastAsia"/>
        </w:rPr>
        <w:t>方法。</w:t>
      </w:r>
    </w:p>
    <w:p>
      <w:pPr>
        <w:pStyle w:val="2"/>
        <w:rPr>
          <w:rFonts w:hint="default"/>
        </w:rPr>
      </w:pPr>
      <w:bookmarkStart w:id="3" w:name="_Toc36220569"/>
      <w:r>
        <w:t>2 规范性引用文件</w:t>
      </w:r>
      <w:bookmarkEnd w:id="3"/>
    </w:p>
    <w:p>
      <w:pPr>
        <w:ind w:firstLine="420" w:firstLineChars="200"/>
        <w:rPr>
          <w:rFonts w:ascii="宋体" w:hAnsi="宋体" w:eastAsia="宋体" w:cs="宋体"/>
        </w:rPr>
      </w:pPr>
      <w:r>
        <w:rPr>
          <w:rFonts w:hint="eastAsia" w:ascii="宋体" w:hAnsi="宋体" w:eastAsia="宋体" w:cs="宋体"/>
        </w:rPr>
        <w:t>下列文件对于本文件的应用是必不可少的。凡注日期的引用文件，仅注日期的版本适用于本文件。凡不注日期的引用文件，其最新版本（包括所有的修改单）适用于本文件。</w:t>
      </w:r>
    </w:p>
    <w:p>
      <w:pPr>
        <w:ind w:firstLine="420" w:firstLineChars="200"/>
        <w:rPr>
          <w:rFonts w:ascii="宋体" w:hAnsi="宋体" w:eastAsia="宋体" w:cs="宋体"/>
        </w:rPr>
      </w:pPr>
      <w:r>
        <w:rPr>
          <w:rFonts w:hint="eastAsia" w:ascii="宋体" w:hAnsi="宋体" w:eastAsia="宋体" w:cs="宋体"/>
        </w:rPr>
        <w:t xml:space="preserve">GB/T </w:t>
      </w:r>
      <w:r>
        <w:rPr>
          <w:rFonts w:ascii="宋体" w:hAnsi="宋体" w:eastAsia="宋体" w:cs="宋体"/>
        </w:rPr>
        <w:t>16886.1</w:t>
      </w:r>
      <w:r>
        <w:rPr>
          <w:rFonts w:hint="eastAsia" w:ascii="宋体" w:hAnsi="宋体" w:eastAsia="宋体" w:cs="宋体"/>
        </w:rPr>
        <w:t xml:space="preserve"> 医疗器械生物学评价 第1部分：风险管理过程中的评价与试验</w:t>
      </w:r>
    </w:p>
    <w:p>
      <w:pPr>
        <w:ind w:firstLine="420" w:firstLineChars="200"/>
        <w:rPr>
          <w:rFonts w:ascii="宋体" w:hAnsi="宋体" w:eastAsia="宋体" w:cs="宋体"/>
        </w:rPr>
      </w:pPr>
      <w:r>
        <w:rPr>
          <w:rFonts w:hint="eastAsia" w:ascii="宋体" w:hAnsi="宋体" w:eastAsia="宋体" w:cs="宋体"/>
        </w:rPr>
        <w:t xml:space="preserve">GB/T </w:t>
      </w:r>
      <w:r>
        <w:rPr>
          <w:rFonts w:ascii="宋体" w:hAnsi="宋体" w:eastAsia="宋体" w:cs="宋体"/>
        </w:rPr>
        <w:t>16886.2</w:t>
      </w:r>
      <w:r>
        <w:rPr>
          <w:rFonts w:hint="eastAsia" w:ascii="宋体" w:hAnsi="宋体" w:eastAsia="宋体" w:cs="宋体"/>
        </w:rPr>
        <w:t xml:space="preserve"> 医疗器械生物学评价 第</w:t>
      </w:r>
      <w:r>
        <w:rPr>
          <w:rFonts w:ascii="宋体" w:hAnsi="宋体" w:eastAsia="宋体" w:cs="宋体"/>
        </w:rPr>
        <w:t>2</w:t>
      </w:r>
      <w:r>
        <w:rPr>
          <w:rFonts w:hint="eastAsia" w:ascii="宋体" w:hAnsi="宋体" w:eastAsia="宋体" w:cs="宋体"/>
        </w:rPr>
        <w:t>部分：动物福利要求</w:t>
      </w:r>
    </w:p>
    <w:p>
      <w:pPr>
        <w:pStyle w:val="2"/>
        <w:rPr>
          <w:rFonts w:hint="default"/>
        </w:rPr>
      </w:pPr>
      <w:bookmarkStart w:id="4" w:name="_Toc36220570"/>
      <w:r>
        <w:t>3 术语和定义</w:t>
      </w:r>
      <w:bookmarkEnd w:id="4"/>
    </w:p>
    <w:p>
      <w:pPr>
        <w:ind w:firstLine="420" w:firstLineChars="200"/>
      </w:pPr>
      <w:r>
        <w:rPr>
          <w:rFonts w:hint="eastAsia"/>
        </w:rPr>
        <w:t>GB/</w:t>
      </w:r>
      <w:r>
        <w:t>T 16886.1</w:t>
      </w:r>
      <w:r>
        <w:rPr>
          <w:rFonts w:hint="eastAsia"/>
        </w:rPr>
        <w:t>、GB</w:t>
      </w:r>
      <w:r>
        <w:t>/T 16886.2</w:t>
      </w:r>
      <w:r>
        <w:rPr>
          <w:rFonts w:hint="eastAsia"/>
        </w:rPr>
        <w:t>和GB</w:t>
      </w:r>
      <w:r>
        <w:t>/T 16886.16</w:t>
      </w:r>
      <w:r>
        <w:rPr>
          <w:rFonts w:hint="eastAsia"/>
        </w:rPr>
        <w:t>界定的以及下列术语和定义适用于本文件。</w:t>
      </w:r>
    </w:p>
    <w:p>
      <w:pPr>
        <w:pStyle w:val="2"/>
        <w:rPr>
          <w:rFonts w:hint="default"/>
        </w:rPr>
      </w:pPr>
      <w:bookmarkStart w:id="5" w:name="_Toc36220571"/>
      <w:r>
        <w:t>4 符号与缩略语</w:t>
      </w:r>
      <w:bookmarkEnd w:id="5"/>
    </w:p>
    <w:p>
      <w:pPr>
        <w:ind w:firstLine="420" w:firstLineChars="200"/>
      </w:pPr>
      <w:r>
        <w:rPr>
          <w:rFonts w:hint="eastAsia"/>
        </w:rPr>
        <w:t>下列缩略语适用于本文件</w:t>
      </w:r>
    </w:p>
    <w:p>
      <w:pPr>
        <w:ind w:firstLine="420" w:firstLineChars="200"/>
      </w:pPr>
      <w:r>
        <w:rPr>
          <w:rFonts w:hint="eastAsia"/>
        </w:rPr>
        <w:t>ICP</w:t>
      </w:r>
      <w:r>
        <w:t>-MS</w:t>
      </w:r>
      <w:r>
        <w:rPr>
          <w:rFonts w:hint="eastAsia"/>
        </w:rPr>
        <w:t>：电感耦合等离子体质谱法</w:t>
      </w:r>
    </w:p>
    <w:p>
      <w:pPr>
        <w:pStyle w:val="2"/>
        <w:rPr>
          <w:rFonts w:hint="default" w:ascii="黑体" w:hAnsi="黑体"/>
        </w:rPr>
      </w:pPr>
      <w:bookmarkStart w:id="6" w:name="_Toc36220572"/>
      <w:r>
        <w:rPr>
          <w:rFonts w:hint="default" w:ascii="黑体" w:hAnsi="黑体"/>
        </w:rPr>
        <w:t xml:space="preserve">5 </w:t>
      </w:r>
      <w:r>
        <w:rPr>
          <w:rFonts w:ascii="黑体" w:hAnsi="黑体"/>
        </w:rPr>
        <w:t>实验动物</w:t>
      </w:r>
      <w:bookmarkEnd w:id="6"/>
    </w:p>
    <w:p>
      <w:pPr>
        <w:rPr>
          <w:rFonts w:ascii="黑体" w:hAnsi="黑体" w:eastAsia="黑体"/>
        </w:rPr>
      </w:pPr>
      <w:r>
        <w:rPr>
          <w:rFonts w:hint="eastAsia" w:ascii="黑体" w:hAnsi="黑体" w:eastAsia="黑体"/>
        </w:rPr>
        <w:t>5</w:t>
      </w:r>
      <w:r>
        <w:rPr>
          <w:rFonts w:ascii="黑体" w:hAnsi="黑体" w:eastAsia="黑体"/>
        </w:rPr>
        <w:t xml:space="preserve">.1 </w:t>
      </w:r>
      <w:r>
        <w:rPr>
          <w:rFonts w:hint="eastAsia" w:ascii="黑体" w:hAnsi="黑体" w:eastAsia="黑体"/>
        </w:rPr>
        <w:t>总则</w:t>
      </w:r>
    </w:p>
    <w:p>
      <w:pPr>
        <w:ind w:firstLine="420" w:firstLineChars="200"/>
      </w:pPr>
      <w:r>
        <w:rPr>
          <w:rFonts w:hint="eastAsia"/>
        </w:rPr>
        <w:t>所有的动物试验应在经国家认可机构批准并符合实验室动物福利全部适用法规的实验室内进行，并应符合GB</w:t>
      </w:r>
      <w:r>
        <w:t>/T 16886.2</w:t>
      </w:r>
      <w:r>
        <w:rPr>
          <w:rFonts w:hint="eastAsia"/>
        </w:rPr>
        <w:t>的要求。</w:t>
      </w:r>
    </w:p>
    <w:p>
      <w:pPr>
        <w:ind w:firstLine="420" w:firstLineChars="200"/>
      </w:pPr>
      <w:r>
        <w:rPr>
          <w:rFonts w:hint="eastAsia"/>
        </w:rPr>
        <w:t>参照GB/</w:t>
      </w:r>
      <w:r>
        <w:t>T 16886.16</w:t>
      </w:r>
      <w:r>
        <w:rPr>
          <w:rFonts w:hint="eastAsia"/>
        </w:rPr>
        <w:t>的5</w:t>
      </w:r>
      <w:r>
        <w:t>.2.1.2</w:t>
      </w:r>
      <w:r>
        <w:rPr>
          <w:rFonts w:hint="eastAsia"/>
        </w:rPr>
        <w:t>条款，进行毒代动力学具体试验设计时，在吸收、分布、代谢、排泄一系列研究中，可进行单项研究，即选择其中的一项进行研究，也可进行多项研究，即对其中的几个项目进行研究。本文件中所述试验设计仅对其中的吸收一个项目进行研究，研究全降解镁合金药物洗脱支架（以下简称“镁合金支架”）中镁元素及其他合金元素在实验动物体内的毒代动力学。</w:t>
      </w:r>
    </w:p>
    <w:p>
      <w:pPr>
        <w:rPr>
          <w:rFonts w:ascii="黑体" w:hAnsi="黑体" w:eastAsia="黑体"/>
        </w:rPr>
      </w:pPr>
      <w:r>
        <w:rPr>
          <w:rFonts w:hint="eastAsia" w:ascii="黑体" w:hAnsi="黑体" w:eastAsia="黑体"/>
        </w:rPr>
        <w:t>5</w:t>
      </w:r>
      <w:r>
        <w:rPr>
          <w:rFonts w:ascii="黑体" w:hAnsi="黑体" w:eastAsia="黑体"/>
        </w:rPr>
        <w:t xml:space="preserve">.2 </w:t>
      </w:r>
      <w:r>
        <w:rPr>
          <w:rFonts w:hint="eastAsia" w:ascii="黑体" w:hAnsi="黑体" w:eastAsia="黑体"/>
        </w:rPr>
        <w:t>动物的种属和要求</w:t>
      </w:r>
    </w:p>
    <w:p>
      <w:pPr>
        <w:ind w:firstLine="420" w:firstLineChars="200"/>
      </w:pPr>
      <w:bookmarkStart w:id="7" w:name="_Hlk36221910"/>
      <w:r>
        <w:rPr>
          <w:rFonts w:hint="eastAsia"/>
        </w:rPr>
        <w:t>本文件推荐将全降解镁合金药物洗脱支架（以下简称“镁合金支架”）植入到实验动物的冠状动脉中，与临床使用一致，可以更好地评价镁合金支架在动物体内的毒代动力学，因此推荐使用小型猪进行支架原位植入。</w:t>
      </w:r>
    </w:p>
    <w:bookmarkEnd w:id="7"/>
    <w:p>
      <w:pPr>
        <w:ind w:firstLine="420" w:firstLineChars="200"/>
      </w:pPr>
      <w:r>
        <w:rPr>
          <w:rFonts w:hint="eastAsia"/>
        </w:rPr>
        <w:t>试验开始时，动物体重宜达到2</w:t>
      </w:r>
      <w:r>
        <w:t>0 kg</w:t>
      </w:r>
      <w:r>
        <w:rPr>
          <w:rFonts w:hint="eastAsia"/>
        </w:rPr>
        <w:t>，且动物体重差异宜控制在最小范围，每只动物的体重不超过同性别平均体重的</w:t>
      </w:r>
      <w:r>
        <w:rPr>
          <w:rFonts w:hint="eastAsia" w:asciiTheme="minorEastAsia" w:hAnsiTheme="minorEastAsia"/>
        </w:rPr>
        <w:t>±</w:t>
      </w:r>
      <w:r>
        <w:rPr>
          <w:rFonts w:hint="eastAsia"/>
        </w:rPr>
        <w:t>2</w:t>
      </w:r>
      <w:r>
        <w:t>0%</w:t>
      </w:r>
      <w:r>
        <w:rPr>
          <w:rFonts w:hint="eastAsia"/>
        </w:rPr>
        <w:t>。动物应随机进行分组，每组至少两只，性别不限，雌性动物应无孕未育。试验结束应采用人道方式处死动物。</w:t>
      </w:r>
    </w:p>
    <w:p>
      <w:pPr>
        <w:pStyle w:val="2"/>
        <w:rPr>
          <w:rFonts w:hint="default" w:ascii="黑体" w:hAnsi="黑体"/>
        </w:rPr>
      </w:pPr>
      <w:bookmarkStart w:id="8" w:name="_Toc36220573"/>
      <w:r>
        <w:rPr>
          <w:rFonts w:ascii="黑体" w:hAnsi="黑体"/>
        </w:rPr>
        <w:t>6 试验步骤</w:t>
      </w:r>
      <w:bookmarkEnd w:id="8"/>
    </w:p>
    <w:p>
      <w:pPr>
        <w:spacing w:line="360" w:lineRule="auto"/>
        <w:rPr>
          <w:rFonts w:ascii="黑体" w:hAnsi="黑体" w:eastAsia="黑体"/>
        </w:rPr>
      </w:pPr>
      <w:r>
        <w:rPr>
          <w:rFonts w:hint="eastAsia" w:ascii="黑体" w:hAnsi="黑体" w:eastAsia="黑体"/>
        </w:rPr>
        <w:t>6</w:t>
      </w:r>
      <w:r>
        <w:rPr>
          <w:rFonts w:ascii="黑体" w:hAnsi="黑体" w:eastAsia="黑体"/>
        </w:rPr>
        <w:t xml:space="preserve">.1 </w:t>
      </w:r>
      <w:r>
        <w:rPr>
          <w:rFonts w:hint="eastAsia" w:ascii="黑体" w:hAnsi="黑体" w:eastAsia="黑体"/>
        </w:rPr>
        <w:t>给入途径及给入量</w:t>
      </w:r>
    </w:p>
    <w:p>
      <w:pPr>
        <w:ind w:firstLine="420" w:firstLineChars="200"/>
        <w:rPr>
          <w:rFonts w:ascii="宋体" w:hAnsi="宋体" w:eastAsia="宋体"/>
        </w:rPr>
      </w:pPr>
      <w:r>
        <w:rPr>
          <w:rFonts w:hint="eastAsia" w:ascii="宋体" w:hAnsi="宋体" w:eastAsia="宋体"/>
        </w:rPr>
        <w:t>按常规临床操作流程植入镁合金支架。</w:t>
      </w:r>
    </w:p>
    <w:p>
      <w:pPr>
        <w:ind w:firstLine="420" w:firstLineChars="200"/>
        <w:rPr>
          <w:rFonts w:ascii="宋体" w:hAnsi="宋体" w:eastAsia="宋体"/>
        </w:rPr>
      </w:pPr>
      <w:r>
        <w:rPr>
          <w:rFonts w:hint="eastAsia" w:ascii="宋体" w:hAnsi="宋体" w:eastAsia="宋体"/>
        </w:rPr>
        <w:t>推荐使用</w:t>
      </w:r>
      <w:r>
        <w:rPr>
          <w:rFonts w:hint="eastAsia" w:ascii="宋体" w:hAnsi="宋体" w:eastAsia="宋体" w:cs="宋体"/>
        </w:rPr>
        <w:t>咪达唑仑</w:t>
      </w:r>
      <w:r>
        <w:rPr>
          <w:rFonts w:hint="eastAsia" w:ascii="宋体" w:hAnsi="宋体" w:eastAsia="宋体"/>
        </w:rPr>
        <w:t>和阿托品对小型猪进行诱导麻醉，腹股沟消毒后，以Seldinger法穿刺股动脉，置入6F鞘管。采用戊巴比妥钠进行深度麻醉，用指引导管进行在后前位或左前斜位进行左冠状动脉造影以及右冠状动脉造影，选择前降支、回旋支或右冠状动脉直径与支架尺寸匹配、较平直的血管段为支架植入部位。每只动物根据支架临床使用量及试验分组，植入一个或几个支架。</w:t>
      </w:r>
    </w:p>
    <w:p>
      <w:pPr>
        <w:ind w:firstLine="420" w:firstLineChars="200"/>
        <w:rPr>
          <w:rFonts w:ascii="宋体" w:hAnsi="宋体" w:eastAsia="宋体"/>
        </w:rPr>
      </w:pPr>
      <w:r>
        <w:rPr>
          <w:rFonts w:hint="eastAsia" w:ascii="宋体" w:hAnsi="宋体" w:eastAsia="宋体"/>
        </w:rPr>
        <w:t>植入支架退出球囊后再次造影，确认无严重撕裂和血栓，撤出鞘管，穿刺部位压迫止血10～20分钟，静脉注射</w:t>
      </w:r>
      <w:r>
        <w:rPr>
          <w:rFonts w:hint="eastAsia" w:ascii="宋体" w:hAnsi="宋体" w:eastAsia="宋体" w:cs="宋体"/>
        </w:rPr>
        <w:t>青霉素</w:t>
      </w:r>
      <w:r>
        <w:rPr>
          <w:rFonts w:hint="eastAsia" w:ascii="宋体" w:hAnsi="宋体" w:eastAsia="宋体"/>
        </w:rPr>
        <w:t>160万单位（或其他抗生素）。待动物苏醒后，普通饮食喂养。给予口服氯吡格雷75mg/Qd、阿司匹林100mg</w:t>
      </w:r>
      <w:r>
        <w:rPr>
          <w:rFonts w:ascii="宋体" w:hAnsi="宋体" w:eastAsia="宋体"/>
        </w:rPr>
        <w:t>/</w:t>
      </w:r>
      <w:r>
        <w:rPr>
          <w:rFonts w:hint="eastAsia" w:ascii="宋体" w:hAnsi="宋体" w:eastAsia="宋体"/>
        </w:rPr>
        <w:t>Qd（后期将其剂量调整为60～80mg</w:t>
      </w:r>
      <w:r>
        <w:rPr>
          <w:rFonts w:ascii="宋体" w:hAnsi="宋体" w:eastAsia="宋体"/>
        </w:rPr>
        <w:t>/</w:t>
      </w:r>
      <w:r>
        <w:rPr>
          <w:rFonts w:hint="eastAsia" w:ascii="宋体" w:hAnsi="宋体" w:eastAsia="宋体"/>
        </w:rPr>
        <w:t>Qd），用至术后复查。</w:t>
      </w:r>
    </w:p>
    <w:p>
      <w:pPr>
        <w:spacing w:line="360" w:lineRule="auto"/>
        <w:rPr>
          <w:rFonts w:ascii="黑体" w:hAnsi="黑体" w:eastAsia="黑体"/>
        </w:rPr>
      </w:pPr>
      <w:r>
        <w:rPr>
          <w:rFonts w:hint="eastAsia" w:ascii="黑体" w:hAnsi="黑体" w:eastAsia="黑体"/>
        </w:rPr>
        <w:t>6</w:t>
      </w:r>
      <w:r>
        <w:rPr>
          <w:rFonts w:ascii="黑体" w:hAnsi="黑体" w:eastAsia="黑体"/>
        </w:rPr>
        <w:t xml:space="preserve">.2 </w:t>
      </w:r>
      <w:r>
        <w:rPr>
          <w:rFonts w:hint="eastAsia" w:ascii="黑体" w:hAnsi="黑体" w:eastAsia="黑体"/>
        </w:rPr>
        <w:t>血液样品采集及样品处理保存</w:t>
      </w:r>
    </w:p>
    <w:p>
      <w:pPr>
        <w:rPr>
          <w:rFonts w:ascii="宋体" w:hAnsi="宋体" w:eastAsia="宋体"/>
        </w:rPr>
      </w:pPr>
      <w:r>
        <w:rPr>
          <w:rFonts w:hint="eastAsia" w:ascii="宋体" w:hAnsi="宋体" w:eastAsia="宋体"/>
        </w:rPr>
        <w:t>6</w:t>
      </w:r>
      <w:r>
        <w:rPr>
          <w:rFonts w:ascii="宋体" w:hAnsi="宋体" w:eastAsia="宋体"/>
        </w:rPr>
        <w:t xml:space="preserve">.2.1 </w:t>
      </w:r>
      <w:r>
        <w:rPr>
          <w:rFonts w:hint="eastAsia" w:ascii="宋体" w:hAnsi="宋体" w:eastAsia="宋体"/>
        </w:rPr>
        <w:t>采样部位</w:t>
      </w:r>
    </w:p>
    <w:p>
      <w:pPr>
        <w:ind w:firstLine="420" w:firstLineChars="200"/>
        <w:rPr>
          <w:rFonts w:ascii="宋体" w:hAnsi="宋体" w:eastAsia="宋体"/>
        </w:rPr>
      </w:pPr>
      <w:r>
        <w:rPr>
          <w:rFonts w:hint="eastAsia" w:ascii="宋体" w:hAnsi="宋体" w:eastAsia="宋体"/>
        </w:rPr>
        <w:t>前腔静脉或耳缘静脉（或其他适宜的部位）采血1.0 m</w:t>
      </w:r>
      <w:r>
        <w:rPr>
          <w:rFonts w:ascii="宋体" w:hAnsi="宋体" w:eastAsia="宋体"/>
        </w:rPr>
        <w:t>L</w:t>
      </w:r>
      <w:r>
        <w:rPr>
          <w:rFonts w:hint="eastAsia" w:ascii="宋体" w:hAnsi="宋体" w:eastAsia="宋体"/>
        </w:rPr>
        <w:t>，肝素抗凝，分离血浆，-</w:t>
      </w:r>
      <w:r>
        <w:rPr>
          <w:rFonts w:ascii="宋体" w:hAnsi="宋体" w:eastAsia="宋体"/>
        </w:rPr>
        <w:t>20</w:t>
      </w:r>
      <w:r>
        <w:rPr>
          <w:rFonts w:hint="eastAsia" w:ascii="宋体" w:hAnsi="宋体" w:eastAsia="宋体"/>
        </w:rPr>
        <w:t>℃保存。</w:t>
      </w:r>
    </w:p>
    <w:p>
      <w:pPr>
        <w:rPr>
          <w:rFonts w:ascii="宋体" w:hAnsi="宋体" w:eastAsia="宋体"/>
        </w:rPr>
      </w:pPr>
      <w:r>
        <w:rPr>
          <w:rFonts w:ascii="宋体" w:hAnsi="宋体" w:eastAsia="宋体"/>
        </w:rPr>
        <w:t>6</w:t>
      </w:r>
      <w:r>
        <w:rPr>
          <w:rFonts w:hint="eastAsia" w:ascii="宋体" w:hAnsi="宋体" w:eastAsia="宋体"/>
        </w:rPr>
        <w:t>.</w:t>
      </w:r>
      <w:r>
        <w:rPr>
          <w:rFonts w:ascii="宋体" w:hAnsi="宋体" w:eastAsia="宋体"/>
        </w:rPr>
        <w:t>2</w:t>
      </w:r>
      <w:r>
        <w:rPr>
          <w:rFonts w:hint="eastAsia" w:ascii="宋体" w:hAnsi="宋体" w:eastAsia="宋体"/>
        </w:rPr>
        <w:t>.</w:t>
      </w:r>
      <w:r>
        <w:rPr>
          <w:rFonts w:ascii="宋体" w:hAnsi="宋体" w:eastAsia="宋体"/>
        </w:rPr>
        <w:t xml:space="preserve">2 </w:t>
      </w:r>
      <w:r>
        <w:rPr>
          <w:rFonts w:hint="eastAsia" w:ascii="宋体" w:hAnsi="宋体" w:eastAsia="宋体"/>
        </w:rPr>
        <w:t>采样时间点</w:t>
      </w:r>
    </w:p>
    <w:p>
      <w:pPr>
        <w:ind w:firstLine="420" w:firstLineChars="200"/>
        <w:rPr>
          <w:rFonts w:ascii="宋体" w:hAnsi="宋体" w:eastAsia="宋体"/>
        </w:rPr>
      </w:pPr>
      <w:bookmarkStart w:id="9" w:name="_Hlk36222045"/>
      <w:r>
        <w:rPr>
          <w:rFonts w:hint="eastAsia" w:ascii="宋体" w:hAnsi="宋体" w:eastAsia="宋体"/>
        </w:rPr>
        <w:t>要测定动力学参数，宜测取足够多的时间点，各时间点间隔要合适。理论上数据点宜覆盖整个半衰期，同时结合镁合金支架在体内降解情况设定采样时间点，推荐以下采样时间点：D.1、D.17、D.31、D.59、D.94、D.122、D.150、D.185、D.213、D.241、D.276、D</w:t>
      </w:r>
      <w:r>
        <w:rPr>
          <w:rFonts w:ascii="宋体" w:hAnsi="宋体" w:eastAsia="宋体"/>
        </w:rPr>
        <w:t>.365</w:t>
      </w:r>
      <w:bookmarkEnd w:id="9"/>
      <w:r>
        <w:rPr>
          <w:rFonts w:hint="eastAsia" w:ascii="宋体" w:hAnsi="宋体" w:eastAsia="宋体"/>
        </w:rPr>
        <w:t>。</w:t>
      </w:r>
    </w:p>
    <w:p>
      <w:pPr>
        <w:spacing w:line="360" w:lineRule="auto"/>
        <w:rPr>
          <w:rFonts w:ascii="黑体" w:hAnsi="黑体" w:eastAsia="黑体"/>
        </w:rPr>
      </w:pPr>
      <w:r>
        <w:rPr>
          <w:rFonts w:ascii="黑体" w:hAnsi="黑体" w:eastAsia="黑体"/>
        </w:rPr>
        <w:t xml:space="preserve">6.3 </w:t>
      </w:r>
      <w:r>
        <w:rPr>
          <w:rFonts w:hint="eastAsia" w:ascii="黑体" w:hAnsi="黑体" w:eastAsia="黑体"/>
        </w:rPr>
        <w:t>血浆中元素浓度检测</w:t>
      </w:r>
    </w:p>
    <w:p>
      <w:pPr>
        <w:ind w:firstLine="420" w:firstLineChars="200"/>
        <w:rPr>
          <w:rFonts w:ascii="宋体" w:hAnsi="宋体" w:eastAsia="宋体"/>
        </w:rPr>
      </w:pPr>
      <w:r>
        <w:rPr>
          <w:rFonts w:hint="eastAsia" w:ascii="宋体" w:hAnsi="宋体" w:eastAsia="宋体"/>
        </w:rPr>
        <w:t>本文件中</w:t>
      </w:r>
      <w:bookmarkStart w:id="10" w:name="_Hlk36222194"/>
      <w:r>
        <w:rPr>
          <w:rFonts w:hint="eastAsia" w:ascii="宋体" w:hAnsi="宋体" w:eastAsia="宋体"/>
        </w:rPr>
        <w:t>采用ICP</w:t>
      </w:r>
      <w:r>
        <w:rPr>
          <w:rFonts w:ascii="宋体" w:hAnsi="宋体" w:eastAsia="宋体"/>
        </w:rPr>
        <w:t>-</w:t>
      </w:r>
      <w:r>
        <w:rPr>
          <w:rFonts w:hint="eastAsia" w:ascii="宋体" w:hAnsi="宋体" w:eastAsia="宋体"/>
        </w:rPr>
        <w:t>MS检测血浆中镁元素及其他合金元素浓度</w:t>
      </w:r>
      <w:bookmarkEnd w:id="10"/>
      <w:r>
        <w:rPr>
          <w:rFonts w:hint="eastAsia" w:ascii="宋体" w:hAnsi="宋体" w:eastAsia="宋体"/>
        </w:rPr>
        <w:t>，并对各种元素浓度随时间变化情况进行分析。</w:t>
      </w:r>
    </w:p>
    <w:p>
      <w:pPr>
        <w:rPr>
          <w:rFonts w:ascii="宋体" w:hAnsi="宋体" w:eastAsia="宋体"/>
        </w:rPr>
      </w:pPr>
      <w:r>
        <w:rPr>
          <w:rFonts w:ascii="宋体" w:hAnsi="宋体" w:eastAsia="宋体"/>
        </w:rPr>
        <w:t xml:space="preserve">6.3.1 </w:t>
      </w:r>
      <w:r>
        <w:rPr>
          <w:rFonts w:hint="eastAsia" w:ascii="宋体" w:hAnsi="宋体" w:eastAsia="宋体"/>
        </w:rPr>
        <w:t>样品处理</w:t>
      </w:r>
    </w:p>
    <w:p>
      <w:pPr>
        <w:ind w:firstLine="420" w:firstLineChars="200"/>
        <w:rPr>
          <w:rFonts w:ascii="宋体" w:hAnsi="宋体" w:eastAsia="宋体"/>
        </w:rPr>
      </w:pPr>
      <w:r>
        <w:rPr>
          <w:rFonts w:hint="eastAsia" w:ascii="宋体" w:hAnsi="宋体" w:eastAsia="宋体"/>
        </w:rPr>
        <w:t xml:space="preserve">取小型猪血浆200 </w:t>
      </w:r>
      <w:r>
        <w:rPr>
          <w:rFonts w:ascii="Times New Roman" w:hAnsi="Times New Roman" w:eastAsia="宋体" w:cs="Times New Roman"/>
        </w:rPr>
        <w:t>μ</w:t>
      </w:r>
      <w:r>
        <w:rPr>
          <w:rFonts w:hint="eastAsia" w:ascii="宋体" w:hAnsi="宋体" w:eastAsia="宋体"/>
        </w:rPr>
        <w:t>L置于15</w:t>
      </w:r>
      <w:r>
        <w:rPr>
          <w:rFonts w:ascii="宋体" w:hAnsi="宋体" w:eastAsia="宋体"/>
        </w:rPr>
        <w:t xml:space="preserve"> </w:t>
      </w:r>
      <w:r>
        <w:rPr>
          <w:rFonts w:hint="eastAsia" w:ascii="宋体" w:hAnsi="宋体" w:eastAsia="宋体"/>
        </w:rPr>
        <w:t>mL离心管中，加入4.8</w:t>
      </w:r>
      <w:r>
        <w:rPr>
          <w:rFonts w:ascii="宋体" w:hAnsi="宋体" w:eastAsia="宋体"/>
        </w:rPr>
        <w:t xml:space="preserve"> </w:t>
      </w:r>
      <w:r>
        <w:rPr>
          <w:rFonts w:hint="eastAsia" w:ascii="宋体" w:hAnsi="宋体" w:eastAsia="宋体"/>
        </w:rPr>
        <w:t>mL稀释剂（0.5% 硝酸+0.01%曲拉通x-100），混匀，离心15</w:t>
      </w:r>
      <w:r>
        <w:rPr>
          <w:rFonts w:ascii="宋体" w:hAnsi="宋体" w:eastAsia="宋体"/>
        </w:rPr>
        <w:t xml:space="preserve"> </w:t>
      </w:r>
      <w:r>
        <w:rPr>
          <w:rFonts w:hint="eastAsia" w:ascii="宋体" w:hAnsi="宋体" w:eastAsia="宋体"/>
        </w:rPr>
        <w:t>min（4000</w:t>
      </w:r>
      <w:r>
        <w:rPr>
          <w:rFonts w:ascii="宋体" w:hAnsi="宋体" w:eastAsia="宋体"/>
        </w:rPr>
        <w:t xml:space="preserve"> </w:t>
      </w:r>
      <w:r>
        <w:rPr>
          <w:rFonts w:hint="eastAsia" w:ascii="宋体" w:hAnsi="宋体" w:eastAsia="宋体"/>
        </w:rPr>
        <w:t>r/min），上机检测，采用在线加内标的方法进入ICP-MS系统进行定量分析。镁（Mg）质量数为24，对应内标可用锗（Ge）质量数为72。</w:t>
      </w:r>
    </w:p>
    <w:p>
      <w:pPr>
        <w:rPr>
          <w:rFonts w:ascii="宋体" w:hAnsi="宋体" w:eastAsia="宋体"/>
        </w:rPr>
      </w:pPr>
      <w:r>
        <w:rPr>
          <w:rFonts w:ascii="宋体" w:hAnsi="宋体" w:eastAsia="宋体"/>
        </w:rPr>
        <w:t xml:space="preserve">6.3.2 </w:t>
      </w:r>
      <w:r>
        <w:rPr>
          <w:rFonts w:hint="eastAsia" w:ascii="宋体" w:hAnsi="宋体" w:eastAsia="宋体"/>
        </w:rPr>
        <w:t>标准曲线样品的制备</w:t>
      </w:r>
    </w:p>
    <w:p>
      <w:pPr>
        <w:ind w:firstLine="420" w:firstLineChars="200"/>
        <w:rPr>
          <w:rFonts w:ascii="宋体" w:hAnsi="宋体" w:eastAsia="宋体"/>
        </w:rPr>
      </w:pPr>
      <w:r>
        <w:rPr>
          <w:rFonts w:hint="eastAsia" w:ascii="宋体" w:hAnsi="宋体" w:eastAsia="宋体"/>
        </w:rPr>
        <w:t>使用稀释剂（含0.01%曲拉通X-100，0.5%硝酸，均为V/V）将镁的储备液稀释成浓度分别为50，100，250，500，1000，2500，4000，5000</w:t>
      </w:r>
      <w:r>
        <w:rPr>
          <w:rFonts w:hint="eastAsia" w:ascii="宋体" w:hAnsi="宋体" w:eastAsia="宋体"/>
          <w:lang w:val="en-US" w:eastAsia="zh-CN"/>
        </w:rPr>
        <w:t xml:space="preserve"> </w:t>
      </w:r>
      <w:r>
        <w:rPr>
          <w:rFonts w:hint="eastAsia" w:ascii="宋体" w:hAnsi="宋体" w:eastAsia="宋体"/>
        </w:rPr>
        <w:t>ng/mL的镁标准工作液，同时将其他元素的储备液稀释成合适浓度的标准工作液。充分混合均匀后储存于2～8℃冰箱。</w:t>
      </w:r>
    </w:p>
    <w:p>
      <w:pPr>
        <w:rPr>
          <w:rFonts w:ascii="宋体" w:hAnsi="宋体" w:eastAsia="宋体"/>
        </w:rPr>
      </w:pPr>
      <w:r>
        <w:rPr>
          <w:rFonts w:ascii="宋体" w:hAnsi="宋体" w:eastAsia="宋体"/>
        </w:rPr>
        <w:t xml:space="preserve">6.3.3 </w:t>
      </w:r>
      <w:r>
        <w:rPr>
          <w:rFonts w:hint="eastAsia" w:ascii="宋体" w:hAnsi="宋体" w:eastAsia="宋体"/>
        </w:rPr>
        <w:t>质控样品的制备</w:t>
      </w:r>
    </w:p>
    <w:p>
      <w:pPr>
        <w:ind w:firstLine="420" w:firstLineChars="200"/>
        <w:rPr>
          <w:rFonts w:ascii="宋体" w:hAnsi="宋体" w:eastAsia="宋体"/>
        </w:rPr>
      </w:pPr>
      <w:r>
        <w:rPr>
          <w:rFonts w:hint="eastAsia" w:ascii="宋体" w:hAnsi="宋体" w:eastAsia="宋体"/>
        </w:rPr>
        <w:t>将质控标准工作液用空白猪血浆配制成含镁和其他元素的混合质控品，其中镁的质控浓度推荐按照混合血浆本底值的50%，100%，150%加标制备，充分混合均匀，储存于-20℃冰箱。</w:t>
      </w:r>
    </w:p>
    <w:p>
      <w:pPr>
        <w:rPr>
          <w:rFonts w:ascii="宋体" w:hAnsi="宋体" w:eastAsia="宋体"/>
        </w:rPr>
      </w:pPr>
      <w:r>
        <w:rPr>
          <w:rFonts w:ascii="宋体" w:hAnsi="宋体" w:eastAsia="宋体"/>
        </w:rPr>
        <w:t xml:space="preserve">6.3.4 </w:t>
      </w:r>
      <w:r>
        <w:rPr>
          <w:rFonts w:hint="eastAsia" w:ascii="宋体" w:hAnsi="宋体" w:eastAsia="宋体"/>
        </w:rPr>
        <w:t>浓度计算</w:t>
      </w:r>
    </w:p>
    <w:p>
      <w:pPr>
        <w:ind w:firstLine="420" w:firstLineChars="200"/>
        <w:rPr>
          <w:rFonts w:ascii="宋体" w:hAnsi="宋体" w:eastAsia="宋体"/>
        </w:rPr>
      </w:pPr>
      <w:r>
        <w:rPr>
          <w:rFonts w:hint="eastAsia" w:ascii="宋体" w:hAnsi="宋体" w:eastAsia="宋体"/>
        </w:rPr>
        <w:t xml:space="preserve">用适宜软件对信号强度进行计算处理。以待测元素的信号强度为纵坐标(y)，浓度为横坐标(x)，用一次曲线进行线性回归计算待测元素浓度。未知样品中镁和其他元素的浓度计算公式如下： </w:t>
      </w:r>
      <w:bookmarkStart w:id="12" w:name="_GoBack"/>
      <w:bookmarkEnd w:id="12"/>
    </w:p>
    <w:p>
      <w:pPr>
        <w:rPr>
          <w:rFonts w:ascii="宋体" w:hAnsi="宋体" w:eastAsia="宋体"/>
        </w:rPr>
      </w:pPr>
      <m:oMathPara>
        <m:oMath>
          <m:r>
            <m:rPr/>
            <w:rPr>
              <w:rFonts w:ascii="Cambria Math" w:hAnsi="Cambria Math" w:eastAsia="Cambria Math" w:cs="Cambria Math"/>
            </w:rPr>
            <m:t>x</m:t>
          </m:r>
          <m:r>
            <m:rPr>
              <m:sty m:val="p"/>
            </m:rPr>
            <w:rPr>
              <w:rFonts w:ascii="Cambria Math" w:hAnsi="Cambria Math" w:eastAsia="Cambria Math" w:cs="Cambria Math"/>
            </w:rPr>
            <m:t>=</m:t>
          </m:r>
          <m:f>
            <m:fPr>
              <m:ctrlPr>
                <w:rPr>
                  <w:rFonts w:ascii="Cambria Math" w:hAnsi="Cambria Math" w:eastAsia="Cambria Math"/>
                </w:rPr>
              </m:ctrlPr>
            </m:fPr>
            <m:num>
              <m:r>
                <m:rPr>
                  <m:sty m:val="p"/>
                </m:rPr>
                <w:rPr>
                  <w:rFonts w:ascii="Cambria Math" w:hAnsi="Cambria Math" w:eastAsia="Cambria Math" w:cs="Cambria Math"/>
                </w:rPr>
                <m:t>y−b</m:t>
              </m:r>
              <m:ctrlPr>
                <w:rPr>
                  <w:rFonts w:ascii="Cambria Math" w:hAnsi="Cambria Math" w:eastAsia="Cambria Math"/>
                </w:rPr>
              </m:ctrlPr>
            </m:num>
            <m:den>
              <m:r>
                <m:rPr>
                  <m:sty m:val="p"/>
                </m:rPr>
                <w:rPr>
                  <w:rFonts w:ascii="Cambria Math" w:hAnsi="Cambria Math" w:eastAsia="Cambria Math" w:cs="Cambria Math"/>
                </w:rPr>
                <m:t>m</m:t>
              </m:r>
              <m:ctrlPr>
                <w:rPr>
                  <w:rFonts w:ascii="Cambria Math" w:hAnsi="Cambria Math" w:eastAsia="Cambria Math"/>
                </w:rPr>
              </m:ctrlPr>
            </m:den>
          </m:f>
        </m:oMath>
      </m:oMathPara>
    </w:p>
    <w:p>
      <w:pPr>
        <w:ind w:firstLine="420" w:firstLineChars="200"/>
        <w:rPr>
          <w:rFonts w:ascii="宋体" w:hAnsi="宋体" w:eastAsia="宋体"/>
        </w:rPr>
      </w:pPr>
      <w:r>
        <w:rPr>
          <w:rFonts w:hint="eastAsia" w:ascii="宋体" w:hAnsi="宋体" w:eastAsia="宋体"/>
        </w:rPr>
        <w:t>其中y代表镁或其他元素的信号强度，b为标准曲线的截距，m为标准曲线的斜率。</w:t>
      </w:r>
    </w:p>
    <w:p>
      <w:pPr>
        <w:rPr>
          <w:rFonts w:ascii="宋体" w:hAnsi="宋体" w:eastAsia="宋体"/>
        </w:rPr>
      </w:pPr>
      <w:r>
        <w:rPr>
          <w:rFonts w:ascii="宋体" w:hAnsi="宋体" w:eastAsia="宋体"/>
        </w:rPr>
        <w:t xml:space="preserve">6.3.5 </w:t>
      </w:r>
      <w:r>
        <w:rPr>
          <w:rFonts w:hint="eastAsia" w:ascii="宋体" w:hAnsi="宋体" w:eastAsia="宋体"/>
        </w:rPr>
        <w:t>接受标准</w:t>
      </w:r>
    </w:p>
    <w:p>
      <w:pPr>
        <w:ind w:firstLine="420" w:firstLineChars="200"/>
        <w:rPr>
          <w:rFonts w:ascii="宋体" w:hAnsi="宋体" w:eastAsia="宋体"/>
        </w:rPr>
      </w:pPr>
      <w:r>
        <w:rPr>
          <w:rFonts w:hint="eastAsia" w:ascii="宋体" w:hAnsi="宋体" w:eastAsia="宋体"/>
        </w:rPr>
        <w:t>标准曲线接受标准：至少采用6个点进行标准曲线的回归计算，所计算出的标准曲线其相关系数为0.99以上；质控样品接受标准：至少有2/3的质控样品（需包含3个浓度水平）准确度在80%～120%之间。</w:t>
      </w:r>
    </w:p>
    <w:p>
      <w:pPr>
        <w:pStyle w:val="2"/>
        <w:rPr>
          <w:rFonts w:hint="default" w:ascii="黑体" w:hAnsi="黑体"/>
        </w:rPr>
      </w:pPr>
      <w:bookmarkStart w:id="11" w:name="_Toc36220574"/>
      <w:r>
        <w:rPr>
          <w:rFonts w:ascii="黑体" w:hAnsi="黑体"/>
        </w:rPr>
        <w:t>7 试验报告</w:t>
      </w:r>
      <w:bookmarkEnd w:id="11"/>
    </w:p>
    <w:p>
      <w:r>
        <w:rPr>
          <w:rFonts w:hint="eastAsia"/>
        </w:rPr>
        <w:t>试验报告应包括下列相关信息：</w:t>
      </w:r>
    </w:p>
    <w:p>
      <w:pPr>
        <w:pStyle w:val="21"/>
        <w:numPr>
          <w:ilvl w:val="0"/>
          <w:numId w:val="1"/>
        </w:numPr>
        <w:ind w:firstLineChars="0"/>
      </w:pPr>
      <w:r>
        <w:rPr>
          <w:rFonts w:hint="eastAsia"/>
        </w:rPr>
        <w:t>动物品系和来源、年龄、性别、环境条件、饮食；</w:t>
      </w:r>
    </w:p>
    <w:p>
      <w:pPr>
        <w:pStyle w:val="21"/>
        <w:numPr>
          <w:ilvl w:val="0"/>
          <w:numId w:val="1"/>
        </w:numPr>
        <w:ind w:firstLineChars="0"/>
      </w:pPr>
      <w:r>
        <w:rPr>
          <w:rFonts w:hint="eastAsia"/>
        </w:rPr>
        <w:t>试验物质和试验样品组成、给入量等信息；</w:t>
      </w:r>
    </w:p>
    <w:p>
      <w:pPr>
        <w:pStyle w:val="21"/>
        <w:numPr>
          <w:ilvl w:val="0"/>
          <w:numId w:val="1"/>
        </w:numPr>
        <w:ind w:firstLineChars="0"/>
      </w:pPr>
      <w:r>
        <w:rPr>
          <w:rFonts w:hint="eastAsia"/>
        </w:rPr>
        <w:t>试验条件，包括给入途径；</w:t>
      </w:r>
    </w:p>
    <w:p>
      <w:pPr>
        <w:pStyle w:val="21"/>
        <w:numPr>
          <w:ilvl w:val="0"/>
          <w:numId w:val="1"/>
        </w:numPr>
        <w:ind w:firstLineChars="0"/>
      </w:pPr>
      <w:r>
        <w:rPr>
          <w:rFonts w:hint="eastAsia"/>
        </w:rPr>
        <w:t>检测方法、浸提法、检出法、确认方法；</w:t>
      </w:r>
    </w:p>
    <w:p>
      <w:pPr>
        <w:pStyle w:val="21"/>
        <w:numPr>
          <w:ilvl w:val="0"/>
          <w:numId w:val="1"/>
        </w:numPr>
        <w:ind w:firstLineChars="0"/>
      </w:pPr>
      <w:r>
        <w:rPr>
          <w:rFonts w:hint="eastAsia"/>
        </w:rPr>
        <w:t>按每一个时间点所对应的结果绘制坐标图；</w:t>
      </w:r>
    </w:p>
    <w:p>
      <w:pPr>
        <w:pStyle w:val="21"/>
        <w:numPr>
          <w:ilvl w:val="0"/>
          <w:numId w:val="1"/>
        </w:numPr>
        <w:ind w:firstLineChars="0"/>
      </w:pPr>
      <w:r>
        <w:rPr>
          <w:rFonts w:hint="eastAsia"/>
        </w:rPr>
        <w:t>质量标准或良好实验室质量管理规范符合性声明；</w:t>
      </w:r>
    </w:p>
    <w:p>
      <w:pPr>
        <w:pStyle w:val="21"/>
        <w:numPr>
          <w:ilvl w:val="0"/>
          <w:numId w:val="1"/>
        </w:numPr>
        <w:ind w:firstLineChars="0"/>
      </w:pPr>
      <w:r>
        <w:rPr>
          <w:rFonts w:hint="eastAsia"/>
        </w:rPr>
        <w:t>结果讨论；</w:t>
      </w:r>
    </w:p>
    <w:p>
      <w:pPr>
        <w:pStyle w:val="21"/>
        <w:numPr>
          <w:ilvl w:val="0"/>
          <w:numId w:val="1"/>
        </w:numPr>
        <w:ind w:firstLineChars="0"/>
      </w:pPr>
      <w:r>
        <w:rPr>
          <w:rFonts w:hint="eastAsia"/>
        </w:rPr>
        <w:t>结果解释。</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8441026"/>
                          </w:sdtPr>
                          <w:sdtContent>
                            <w:p>
                              <w:pPr>
                                <w:pStyle w:val="8"/>
                                <w:jc w:val="center"/>
                              </w:pPr>
                              <w:r>
                                <w:fldChar w:fldCharType="begin"/>
                              </w:r>
                              <w:r>
                                <w:instrText xml:space="preserve">PAGE   \* MERGEFORMAT</w:instrText>
                              </w:r>
                              <w:r>
                                <w:fldChar w:fldCharType="separate"/>
                              </w:r>
                              <w:r>
                                <w:rPr>
                                  <w:lang w:val="zh-CN"/>
                                </w:rPr>
                                <w:t>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sdt>
                    <w:sdtPr>
                      <w:id w:val="698441026"/>
                    </w:sdtPr>
                    <w:sdtContent>
                      <w:p>
                        <w:pPr>
                          <w:pStyle w:val="8"/>
                          <w:jc w:val="center"/>
                        </w:pPr>
                        <w:r>
                          <w:fldChar w:fldCharType="begin"/>
                        </w:r>
                        <w:r>
                          <w:instrText xml:space="preserve">PAGE   \* MERGEFORMAT</w:instrText>
                        </w:r>
                        <w:r>
                          <w:fldChar w:fldCharType="separate"/>
                        </w:r>
                        <w:r>
                          <w:rPr>
                            <w:lang w:val="zh-CN"/>
                          </w:rPr>
                          <w:t>I</w:t>
                        </w:r>
                        <w:r>
                          <w:fldChar w:fldCharType="end"/>
                        </w:r>
                      </w:p>
                    </w:sdtContent>
                  </w:sdt>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3915"/>
      </w:tabs>
    </w:pPr>
    <w:r>
      <w:tab/>
    </w:r>
    <w:r>
      <w:tab/>
    </w:r>
    <w:r>
      <w:tab/>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4195317"/>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104195317"/>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719C4"/>
    <w:multiLevelType w:val="multilevel"/>
    <w:tmpl w:val="220719C4"/>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9357A2"/>
    <w:rsid w:val="00007AB3"/>
    <w:rsid w:val="0001243A"/>
    <w:rsid w:val="00030459"/>
    <w:rsid w:val="00082961"/>
    <w:rsid w:val="00111C66"/>
    <w:rsid w:val="001413D3"/>
    <w:rsid w:val="0016748B"/>
    <w:rsid w:val="001A7048"/>
    <w:rsid w:val="001F0099"/>
    <w:rsid w:val="00243A7E"/>
    <w:rsid w:val="00265B03"/>
    <w:rsid w:val="002773EF"/>
    <w:rsid w:val="00280AB9"/>
    <w:rsid w:val="00294B20"/>
    <w:rsid w:val="002D11C8"/>
    <w:rsid w:val="002F0D9B"/>
    <w:rsid w:val="00301C0B"/>
    <w:rsid w:val="0031551E"/>
    <w:rsid w:val="003320AE"/>
    <w:rsid w:val="00360A4C"/>
    <w:rsid w:val="0036579D"/>
    <w:rsid w:val="003F43DD"/>
    <w:rsid w:val="00404F58"/>
    <w:rsid w:val="00483B95"/>
    <w:rsid w:val="004C5B26"/>
    <w:rsid w:val="004E5323"/>
    <w:rsid w:val="00572547"/>
    <w:rsid w:val="00587EAE"/>
    <w:rsid w:val="005F6620"/>
    <w:rsid w:val="00625B0C"/>
    <w:rsid w:val="00646EE5"/>
    <w:rsid w:val="00706CE3"/>
    <w:rsid w:val="00707612"/>
    <w:rsid w:val="00787653"/>
    <w:rsid w:val="007951F1"/>
    <w:rsid w:val="00796A08"/>
    <w:rsid w:val="007B54DC"/>
    <w:rsid w:val="00800469"/>
    <w:rsid w:val="00815707"/>
    <w:rsid w:val="00817238"/>
    <w:rsid w:val="008204E8"/>
    <w:rsid w:val="008420AD"/>
    <w:rsid w:val="008450EA"/>
    <w:rsid w:val="008727CD"/>
    <w:rsid w:val="00875621"/>
    <w:rsid w:val="0089152A"/>
    <w:rsid w:val="008A2560"/>
    <w:rsid w:val="008D0351"/>
    <w:rsid w:val="008D1927"/>
    <w:rsid w:val="008D238D"/>
    <w:rsid w:val="008F20A5"/>
    <w:rsid w:val="0091070E"/>
    <w:rsid w:val="00935339"/>
    <w:rsid w:val="009372FC"/>
    <w:rsid w:val="00992447"/>
    <w:rsid w:val="00993226"/>
    <w:rsid w:val="009A5872"/>
    <w:rsid w:val="009D7ACE"/>
    <w:rsid w:val="00A561A2"/>
    <w:rsid w:val="00A70F45"/>
    <w:rsid w:val="00A7775D"/>
    <w:rsid w:val="00B6318A"/>
    <w:rsid w:val="00B73A3B"/>
    <w:rsid w:val="00BD7650"/>
    <w:rsid w:val="00C21C20"/>
    <w:rsid w:val="00C22759"/>
    <w:rsid w:val="00C80C27"/>
    <w:rsid w:val="00CC728F"/>
    <w:rsid w:val="00CF251B"/>
    <w:rsid w:val="00D40882"/>
    <w:rsid w:val="00DB36C4"/>
    <w:rsid w:val="00DE4C48"/>
    <w:rsid w:val="00E16D57"/>
    <w:rsid w:val="00E455EA"/>
    <w:rsid w:val="00E64788"/>
    <w:rsid w:val="00E811D1"/>
    <w:rsid w:val="00E860AD"/>
    <w:rsid w:val="00F1644C"/>
    <w:rsid w:val="00F20C74"/>
    <w:rsid w:val="00FC1DA7"/>
    <w:rsid w:val="00FC5500"/>
    <w:rsid w:val="00FE3471"/>
    <w:rsid w:val="03655928"/>
    <w:rsid w:val="04C00483"/>
    <w:rsid w:val="06B22A61"/>
    <w:rsid w:val="0E247472"/>
    <w:rsid w:val="0F224D63"/>
    <w:rsid w:val="130948E0"/>
    <w:rsid w:val="13B06361"/>
    <w:rsid w:val="149C6FBF"/>
    <w:rsid w:val="17654B16"/>
    <w:rsid w:val="1A101258"/>
    <w:rsid w:val="1BDF63B7"/>
    <w:rsid w:val="1C7473AF"/>
    <w:rsid w:val="218B694D"/>
    <w:rsid w:val="236E3B1C"/>
    <w:rsid w:val="281841EC"/>
    <w:rsid w:val="2E351FAB"/>
    <w:rsid w:val="2E5232A8"/>
    <w:rsid w:val="35EF1D67"/>
    <w:rsid w:val="37A05B64"/>
    <w:rsid w:val="3A12285B"/>
    <w:rsid w:val="3C8E2407"/>
    <w:rsid w:val="3E8A5381"/>
    <w:rsid w:val="3F794F89"/>
    <w:rsid w:val="40B22A56"/>
    <w:rsid w:val="40E516E7"/>
    <w:rsid w:val="43321736"/>
    <w:rsid w:val="43A80EA2"/>
    <w:rsid w:val="45A55229"/>
    <w:rsid w:val="483C2D8B"/>
    <w:rsid w:val="4B903520"/>
    <w:rsid w:val="4E0F4C02"/>
    <w:rsid w:val="5262464B"/>
    <w:rsid w:val="590457C9"/>
    <w:rsid w:val="59675044"/>
    <w:rsid w:val="598F0AD6"/>
    <w:rsid w:val="59CE3A9E"/>
    <w:rsid w:val="5AA7442B"/>
    <w:rsid w:val="5B9357A2"/>
    <w:rsid w:val="5E6F16E3"/>
    <w:rsid w:val="5EAB2081"/>
    <w:rsid w:val="64D45273"/>
    <w:rsid w:val="64EA095A"/>
    <w:rsid w:val="65CD2AC1"/>
    <w:rsid w:val="6C6F4BF4"/>
    <w:rsid w:val="6E7F1324"/>
    <w:rsid w:val="6FD9791C"/>
    <w:rsid w:val="70AF0F36"/>
    <w:rsid w:val="78311EDF"/>
    <w:rsid w:val="78591452"/>
    <w:rsid w:val="787A7FB2"/>
    <w:rsid w:val="7AD54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spacing w:beforeAutospacing="1" w:afterAutospacing="1"/>
      <w:jc w:val="left"/>
      <w:outlineLvl w:val="0"/>
    </w:pPr>
    <w:rPr>
      <w:rFonts w:hint="eastAsia" w:ascii="宋体" w:hAnsi="宋体" w:eastAsia="黑体" w:cs="Times New Roman"/>
      <w:b/>
      <w:bCs/>
      <w:color w:val="000000" w:themeColor="text1"/>
      <w:szCs w:val="48"/>
      <w14:textFill>
        <w14:solidFill>
          <w14:schemeClr w14:val="tx1"/>
        </w14:solidFill>
      </w14:textFill>
    </w:rPr>
  </w:style>
  <w:style w:type="paragraph" w:styleId="3">
    <w:name w:val="heading 2"/>
    <w:basedOn w:val="1"/>
    <w:next w:val="1"/>
    <w:link w:val="19"/>
    <w:unhideWhenUsed/>
    <w:qFormat/>
    <w:uiPriority w:val="0"/>
    <w:pPr>
      <w:keepNext/>
      <w:keepLines/>
      <w:spacing w:before="200" w:after="200"/>
      <w:outlineLvl w:val="1"/>
    </w:pPr>
    <w:rPr>
      <w:rFonts w:ascii="仿宋" w:hAnsi="仿宋" w:eastAsia="黑体" w:cs="仿宋"/>
      <w:b/>
      <w:bCs/>
      <w:color w:val="000000" w:themeColor="text1"/>
      <w:lang w:eastAsia="en-US"/>
      <w14:textFill>
        <w14:solidFill>
          <w14:schemeClr w14:val="tx1"/>
        </w14:solidFill>
      </w14:textFill>
    </w:rPr>
  </w:style>
  <w:style w:type="paragraph" w:styleId="4">
    <w:name w:val="heading 3"/>
    <w:basedOn w:val="1"/>
    <w:next w:val="1"/>
    <w:link w:val="20"/>
    <w:semiHidden/>
    <w:unhideWhenUsed/>
    <w:qFormat/>
    <w:uiPriority w:val="0"/>
    <w:pPr>
      <w:keepNext/>
      <w:keepLines/>
      <w:spacing w:before="200" w:after="200"/>
      <w:outlineLvl w:val="2"/>
    </w:pPr>
    <w:rPr>
      <w:rFonts w:eastAsia="仿宋" w:asciiTheme="majorHAnsi" w:hAnsiTheme="majorHAnsi" w:cstheme="majorBidi"/>
      <w:b/>
      <w:bCs/>
      <w:color w:val="000000" w:themeColor="text1"/>
      <w:sz w:val="24"/>
      <w:lang w:eastAsia="en-US"/>
      <w14:textFill>
        <w14:solidFill>
          <w14:schemeClr w14:val="tx1"/>
        </w14:solidFill>
      </w14:textFill>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uiPriority w:val="0"/>
    <w:pPr>
      <w:jc w:val="left"/>
    </w:pPr>
  </w:style>
  <w:style w:type="paragraph" w:styleId="6">
    <w:name w:val="Body Text Indent"/>
    <w:basedOn w:val="1"/>
    <w:qFormat/>
    <w:uiPriority w:val="0"/>
    <w:pPr>
      <w:spacing w:line="400" w:lineRule="exact"/>
      <w:ind w:firstLine="480" w:firstLineChars="200"/>
    </w:pPr>
    <w:rPr>
      <w:rFonts w:ascii="Times New Roman" w:hAnsi="Times New Roman" w:eastAsia="宋体" w:cs="Times New Roman"/>
      <w:sz w:val="24"/>
    </w:rPr>
  </w:style>
  <w:style w:type="paragraph" w:styleId="7">
    <w:name w:val="Balloon Text"/>
    <w:basedOn w:val="1"/>
    <w:link w:val="24"/>
    <w:semiHidden/>
    <w:unhideWhenUsed/>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Body Text Indent 3"/>
    <w:basedOn w:val="1"/>
    <w:link w:val="23"/>
    <w:qFormat/>
    <w:uiPriority w:val="0"/>
    <w:pPr>
      <w:spacing w:after="120"/>
      <w:ind w:left="420" w:leftChars="200"/>
    </w:pPr>
    <w:rPr>
      <w:sz w:val="16"/>
      <w:szCs w:val="16"/>
    </w:rPr>
  </w:style>
  <w:style w:type="paragraph" w:styleId="12">
    <w:name w:val="annotation subject"/>
    <w:basedOn w:val="5"/>
    <w:next w:val="5"/>
    <w:link w:val="26"/>
    <w:semiHidden/>
    <w:unhideWhenUsed/>
    <w:qFormat/>
    <w:uiPriority w:val="0"/>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qFormat/>
    <w:uiPriority w:val="0"/>
    <w:rPr>
      <w:sz w:val="21"/>
      <w:szCs w:val="21"/>
    </w:rPr>
  </w:style>
  <w:style w:type="character" w:customStyle="1" w:styleId="18">
    <w:name w:val="标题 1 Char"/>
    <w:basedOn w:val="15"/>
    <w:link w:val="2"/>
    <w:qFormat/>
    <w:uiPriority w:val="9"/>
    <w:rPr>
      <w:rFonts w:ascii="宋体" w:hAnsi="宋体" w:eastAsia="黑体" w:cs="仿宋"/>
      <w:b/>
      <w:bCs/>
      <w:color w:val="000000" w:themeColor="text1"/>
      <w:sz w:val="21"/>
      <w:szCs w:val="32"/>
      <w:lang w:val="en-US" w:eastAsia="en-US"/>
      <w14:textFill>
        <w14:solidFill>
          <w14:schemeClr w14:val="tx1"/>
        </w14:solidFill>
      </w14:textFill>
    </w:rPr>
  </w:style>
  <w:style w:type="character" w:customStyle="1" w:styleId="19">
    <w:name w:val="标题 2 Char"/>
    <w:basedOn w:val="15"/>
    <w:link w:val="3"/>
    <w:qFormat/>
    <w:uiPriority w:val="9"/>
    <w:rPr>
      <w:rFonts w:ascii="仿宋" w:hAnsi="仿宋" w:eastAsia="黑体" w:cs="仿宋"/>
      <w:b/>
      <w:bCs/>
      <w:color w:val="000000" w:themeColor="text1"/>
      <w:sz w:val="21"/>
      <w:szCs w:val="24"/>
      <w:lang w:val="en-US" w:eastAsia="en-US"/>
      <w14:textFill>
        <w14:solidFill>
          <w14:schemeClr w14:val="tx1"/>
        </w14:solidFill>
      </w14:textFill>
    </w:rPr>
  </w:style>
  <w:style w:type="character" w:customStyle="1" w:styleId="20">
    <w:name w:val="标题 3 Char"/>
    <w:basedOn w:val="15"/>
    <w:link w:val="4"/>
    <w:qFormat/>
    <w:uiPriority w:val="9"/>
    <w:rPr>
      <w:rFonts w:eastAsia="仿宋" w:asciiTheme="majorHAnsi" w:hAnsiTheme="majorHAnsi" w:cstheme="majorBidi"/>
      <w:b/>
      <w:bCs/>
      <w:color w:val="000000" w:themeColor="text1"/>
      <w:sz w:val="24"/>
      <w:lang w:val="en-US" w:eastAsia="en-US"/>
      <w14:textFill>
        <w14:solidFill>
          <w14:schemeClr w14:val="tx1"/>
        </w14:solidFill>
      </w14:textFill>
    </w:rPr>
  </w:style>
  <w:style w:type="paragraph" w:styleId="21">
    <w:name w:val="List Paragraph"/>
    <w:basedOn w:val="1"/>
    <w:qFormat/>
    <w:uiPriority w:val="34"/>
    <w:pPr>
      <w:ind w:firstLine="420" w:firstLineChars="200"/>
    </w:pPr>
  </w:style>
  <w:style w:type="paragraph" w:customStyle="1" w:styleId="22">
    <w:name w:val="WPSOffice手动目录 1"/>
    <w:qFormat/>
    <w:uiPriority w:val="0"/>
    <w:rPr>
      <w:rFonts w:ascii="Times New Roman" w:hAnsi="Times New Roman" w:eastAsia="宋体" w:cs="Times New Roman"/>
      <w:lang w:val="en-US" w:eastAsia="zh-CN" w:bidi="ar-SA"/>
    </w:rPr>
  </w:style>
  <w:style w:type="character" w:customStyle="1" w:styleId="23">
    <w:name w:val="正文文本缩进 3 Char"/>
    <w:basedOn w:val="15"/>
    <w:link w:val="11"/>
    <w:qFormat/>
    <w:uiPriority w:val="0"/>
    <w:rPr>
      <w:rFonts w:asciiTheme="minorHAnsi" w:hAnsiTheme="minorHAnsi" w:eastAsiaTheme="minorEastAsia" w:cstheme="minorBidi"/>
      <w:kern w:val="2"/>
      <w:sz w:val="16"/>
      <w:szCs w:val="16"/>
    </w:rPr>
  </w:style>
  <w:style w:type="character" w:customStyle="1" w:styleId="24">
    <w:name w:val="批注框文本 Char"/>
    <w:basedOn w:val="15"/>
    <w:link w:val="7"/>
    <w:semiHidden/>
    <w:qFormat/>
    <w:uiPriority w:val="0"/>
    <w:rPr>
      <w:rFonts w:asciiTheme="minorHAnsi" w:hAnsiTheme="minorHAnsi" w:eastAsiaTheme="minorEastAsia" w:cstheme="minorBidi"/>
      <w:kern w:val="2"/>
      <w:sz w:val="18"/>
      <w:szCs w:val="18"/>
    </w:rPr>
  </w:style>
  <w:style w:type="character" w:customStyle="1" w:styleId="25">
    <w:name w:val="批注文字 Char"/>
    <w:basedOn w:val="15"/>
    <w:link w:val="5"/>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2"/>
    <w:semiHidden/>
    <w:qFormat/>
    <w:uiPriority w:val="0"/>
    <w:rPr>
      <w:rFonts w:asciiTheme="minorHAnsi" w:hAnsiTheme="minorHAnsi" w:eastAsiaTheme="minorEastAsia" w:cstheme="minorBidi"/>
      <w:b/>
      <w:bCs/>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0192E6-E4A0-4056-A522-EDF4D1A2ED5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503</Words>
  <Characters>2873</Characters>
  <Lines>23</Lines>
  <Paragraphs>6</Paragraphs>
  <TotalTime>6</TotalTime>
  <ScaleCrop>false</ScaleCrop>
  <LinksUpToDate>false</LinksUpToDate>
  <CharactersWithSpaces>3370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2022-04-23T05:32:00Z</dcterms:created>
  <dc:creator>万子义</dc:creator>
  <cp:lastModifiedBy>雨红</cp:lastModifiedBy>
  <dcterms:modified xsi:type="dcterms:W3CDTF">2022-04-24T06:24:49Z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3373E2C6F64C481B92C4DE7B54C6F9CC</vt:lpwstr>
  </property>
</Properties>
</file>