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id w:val="-895732474"/>
      </w:sdtPr>
      <w:sdtEndPr>
        <w:rPr>
          <w:rFonts w:ascii="黑体" w:hAnsi="黑体" w:eastAsia="黑体"/>
          <w:w w:val="105"/>
          <w:sz w:val="36"/>
        </w:rPr>
      </w:sdtEndPr>
      <w:sdtContent>
        <w:p>
          <w:pPr>
            <w:rPr>
              <w:rFonts w:ascii="黑体" w:hAnsi="黑体" w:eastAsia="黑体"/>
            </w:rPr>
          </w:pPr>
          <w:r>
            <w:rPr>
              <w:rFonts w:ascii="黑体" w:hAnsi="黑体" w:eastAsia="黑体"/>
            </w:rPr>
            <w:t>ICS</w:t>
          </w:r>
          <w:r>
            <w:rPr>
              <w:rFonts w:hint="eastAsia" w:ascii="黑体" w:hAnsi="黑体" w:eastAsia="黑体"/>
            </w:rPr>
            <w:t xml:space="preserve"> </w:t>
          </w:r>
          <w:r>
            <w:rPr>
              <w:rFonts w:ascii="黑体" w:hAnsi="黑体" w:eastAsia="黑体"/>
            </w:rPr>
            <w:t>11.040.40</w:t>
          </w:r>
        </w:p>
        <w:p>
          <w:pPr>
            <w:rPr>
              <w:rFonts w:ascii="黑体" w:hAnsi="黑体" w:eastAsia="黑体"/>
            </w:rPr>
          </w:pPr>
          <w:r>
            <w:rPr>
              <w:rFonts w:hint="eastAsia" w:ascii="黑体" w:hAnsi="黑体" w:eastAsia="黑体"/>
            </w:rPr>
            <w:t>C</w:t>
          </w:r>
          <w:r>
            <w:rPr>
              <w:rFonts w:ascii="黑体" w:hAnsi="黑体" w:eastAsia="黑体"/>
            </w:rPr>
            <w:t>45</w:t>
          </w:r>
        </w:p>
        <w:p/>
        <w:p/>
        <w:p/>
        <w:p>
          <w:pPr>
            <w:rPr>
              <w:w w:val="105"/>
            </w:rPr>
          </w:pPr>
        </w:p>
        <w:p>
          <w:pPr>
            <w:widowControl/>
            <w:jc w:val="center"/>
            <w:rPr>
              <w:rFonts w:ascii="黑体" w:hAnsi="黑体" w:eastAsia="黑体"/>
              <w:w w:val="105"/>
              <w:sz w:val="84"/>
              <w:szCs w:val="84"/>
            </w:rPr>
          </w:pPr>
          <w:r>
            <w:rPr>
              <w:rFonts w:hint="eastAsia" w:ascii="黑体" w:hAnsi="黑体" w:eastAsia="黑体"/>
              <w:w w:val="105"/>
              <w:sz w:val="84"/>
              <w:szCs w:val="84"/>
            </w:rPr>
            <w:t xml:space="preserve">团 </w:t>
          </w:r>
          <w:r>
            <w:rPr>
              <w:rFonts w:ascii="黑体" w:hAnsi="黑体" w:eastAsia="黑体"/>
              <w:w w:val="105"/>
              <w:sz w:val="84"/>
              <w:szCs w:val="84"/>
            </w:rPr>
            <w:t xml:space="preserve"> </w:t>
          </w:r>
          <w:r>
            <w:rPr>
              <w:rFonts w:hint="eastAsia" w:ascii="黑体" w:hAnsi="黑体" w:eastAsia="黑体"/>
              <w:w w:val="105"/>
              <w:sz w:val="84"/>
              <w:szCs w:val="84"/>
            </w:rPr>
            <w:t xml:space="preserve">体 </w:t>
          </w:r>
          <w:r>
            <w:rPr>
              <w:rFonts w:ascii="黑体" w:hAnsi="黑体" w:eastAsia="黑体"/>
              <w:w w:val="105"/>
              <w:sz w:val="84"/>
              <w:szCs w:val="84"/>
            </w:rPr>
            <w:t xml:space="preserve"> </w:t>
          </w:r>
          <w:r>
            <w:rPr>
              <w:rFonts w:hint="eastAsia" w:ascii="黑体" w:hAnsi="黑体" w:eastAsia="黑体"/>
              <w:w w:val="105"/>
              <w:sz w:val="84"/>
              <w:szCs w:val="84"/>
            </w:rPr>
            <w:t xml:space="preserve">标 </w:t>
          </w:r>
          <w:r>
            <w:rPr>
              <w:rFonts w:ascii="黑体" w:hAnsi="黑体" w:eastAsia="黑体"/>
              <w:w w:val="105"/>
              <w:sz w:val="84"/>
              <w:szCs w:val="84"/>
            </w:rPr>
            <w:t xml:space="preserve"> </w:t>
          </w:r>
          <w:r>
            <w:rPr>
              <w:rFonts w:hint="eastAsia" w:ascii="黑体" w:hAnsi="黑体" w:eastAsia="黑体"/>
              <w:w w:val="105"/>
              <w:sz w:val="84"/>
              <w:szCs w:val="84"/>
            </w:rPr>
            <w:t>准</w:t>
          </w:r>
        </w:p>
        <w:p>
          <w:pPr>
            <w:widowControl/>
            <w:jc w:val="center"/>
            <w:rPr>
              <w:rFonts w:ascii="黑体" w:hAnsi="黑体" w:eastAsia="黑体"/>
              <w:w w:val="105"/>
              <w:sz w:val="28"/>
              <w:szCs w:val="28"/>
            </w:rPr>
          </w:pPr>
          <w:r>
            <w:rPr>
              <w:rFonts w:hint="eastAsia" w:ascii="黑体" w:hAnsi="黑体" w:eastAsia="黑体"/>
              <w:w w:val="105"/>
              <w:sz w:val="84"/>
              <w:szCs w:val="84"/>
            </w:rPr>
            <w:t xml:space="preserve"> </w:t>
          </w:r>
          <w:r>
            <w:rPr>
              <w:rFonts w:ascii="黑体" w:hAnsi="黑体" w:eastAsia="黑体"/>
              <w:w w:val="105"/>
              <w:sz w:val="84"/>
              <w:szCs w:val="84"/>
            </w:rPr>
            <w:t xml:space="preserve">    </w:t>
          </w:r>
          <w:r>
            <w:rPr>
              <w:rFonts w:ascii="黑体" w:hAnsi="黑体" w:eastAsia="黑体"/>
              <w:w w:val="105"/>
              <w:sz w:val="84"/>
              <w:szCs w:val="84"/>
            </w:rPr>
            <w:tab/>
          </w:r>
          <w:r>
            <w:rPr>
              <w:rFonts w:ascii="黑体" w:hAnsi="黑体" w:eastAsia="黑体"/>
              <w:w w:val="105"/>
              <w:sz w:val="84"/>
              <w:szCs w:val="84"/>
            </w:rPr>
            <w:t xml:space="preserve">       </w:t>
          </w:r>
          <w:r>
            <w:rPr>
              <w:rFonts w:ascii="黑体" w:hAnsi="黑体" w:eastAsia="黑体" w:cs="Times New Roman"/>
              <w:w w:val="105"/>
              <w:sz w:val="28"/>
              <w:szCs w:val="28"/>
            </w:rPr>
            <w:t>T/CSBM XXXX-XXXX</w:t>
          </w:r>
        </w:p>
        <w:p>
          <w:pPr>
            <w:widowControl/>
            <w:jc w:val="center"/>
            <w:rPr>
              <w:rFonts w:ascii="宋体" w:hAnsi="宋体"/>
              <w:w w:val="105"/>
              <w:sz w:val="24"/>
            </w:rPr>
          </w:pPr>
          <w: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102870</wp:posOffset>
                    </wp:positionV>
                    <wp:extent cx="5319395" cy="3810"/>
                    <wp:effectExtent l="0" t="0" r="33655" b="34290"/>
                    <wp:wrapNone/>
                    <wp:docPr id="1" name="直线 2"/>
                    <wp:cNvGraphicFramePr/>
                    <a:graphic xmlns:a="http://schemas.openxmlformats.org/drawingml/2006/main">
                      <a:graphicData uri="http://schemas.microsoft.com/office/word/2010/wordprocessingShape">
                        <wps:wsp>
                          <wps:cNvCnPr/>
                          <wps:spPr>
                            <a:xfrm flipV="1">
                              <a:off x="0" y="0"/>
                              <a:ext cx="5319395" cy="3810"/>
                            </a:xfrm>
                            <a:prstGeom prst="line">
                              <a:avLst/>
                            </a:prstGeom>
                            <a:ln w="19050" cap="flat" cmpd="sng">
                              <a:solidFill>
                                <a:srgbClr val="000000"/>
                              </a:solidFill>
                              <a:prstDash val="solid"/>
                              <a:miter/>
                              <a:headEnd type="none" w="med" len="med"/>
                              <a:tailEnd type="none" w="med" len="med"/>
                            </a:ln>
                          </wps:spPr>
                          <wps:bodyPr/>
                        </wps:wsp>
                      </a:graphicData>
                    </a:graphic>
                  </wp:anchor>
                </w:drawing>
              </mc:Choice>
              <mc:Fallback>
                <w:pict>
                  <v:line id="直线 2" o:spid="_x0000_s1026" o:spt="20" style="position:absolute;left:0pt;flip:y;margin-left:-2.15pt;margin-top:8.1pt;height:0.3pt;width:418.85pt;z-index:251661312;mso-width-relative:page;mso-height-relative:page;" filled="f" stroked="t" coordsize="21600,21600" o:gfxdata="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kyqwtYAAAAIAQAADwAAAAAAAAABACAAAAAiAAAAZHJzL2Rvd25yZXYueG1sUEsBAhQAFAAAAAgA&#10;h07iQK6IJXLuAQAA5wMAAA4AAAAAAAAAAQAgAAAAJQEAAGRycy9lMm9Eb2MueG1sUEsFBgAAAAAG&#10;AAYAWQEAAIUFAAAAAA==&#10;">
                    <v:fill on="f" focussize="0,0"/>
                    <v:stroke weight="1.5pt" color="#000000" joinstyle="miter"/>
                    <v:imagedata o:title=""/>
                    <o:lock v:ext="edit" aspectratio="f"/>
                  </v:line>
                </w:pict>
              </mc:Fallback>
            </mc:AlternateContent>
          </w:r>
        </w:p>
        <w:p>
          <w:pPr>
            <w:widowControl/>
            <w:jc w:val="left"/>
            <w:rPr>
              <w:rFonts w:ascii="黑体" w:hAnsi="黑体" w:eastAsia="黑体"/>
              <w:w w:val="105"/>
              <w:sz w:val="36"/>
            </w:rPr>
          </w:pPr>
        </w:p>
        <w:p>
          <w:pPr>
            <w:widowControl/>
            <w:jc w:val="left"/>
            <w:rPr>
              <w:rFonts w:ascii="黑体" w:hAnsi="黑体" w:eastAsia="黑体"/>
              <w:w w:val="105"/>
              <w:sz w:val="36"/>
            </w:rPr>
          </w:pPr>
        </w:p>
        <w:p>
          <w:pPr>
            <w:widowControl/>
            <w:jc w:val="left"/>
            <w:rPr>
              <w:rFonts w:ascii="黑体" w:hAnsi="黑体" w:eastAsia="黑体"/>
              <w:w w:val="105"/>
              <w:sz w:val="36"/>
            </w:rPr>
          </w:pPr>
        </w:p>
        <w:p>
          <w:pPr>
            <w:widowControl/>
            <w:jc w:val="center"/>
            <w:rPr>
              <w:rFonts w:ascii="黑体" w:hAnsi="黑体" w:eastAsia="黑体"/>
              <w:w w:val="105"/>
              <w:sz w:val="52"/>
              <w:szCs w:val="52"/>
            </w:rPr>
          </w:pPr>
          <w:r>
            <w:rPr>
              <w:rFonts w:hint="eastAsia" w:ascii="黑体" w:hAnsi="黑体" w:eastAsia="黑体"/>
              <w:w w:val="105"/>
              <w:sz w:val="52"/>
              <w:szCs w:val="52"/>
            </w:rPr>
            <w:t>全降解镁合金药物洗脱支架生物学评价</w:t>
          </w:r>
        </w:p>
        <w:p>
          <w:pPr>
            <w:widowControl/>
            <w:jc w:val="center"/>
            <w:rPr>
              <w:rFonts w:ascii="黑体" w:hAnsi="黑体" w:eastAsia="黑体"/>
              <w:w w:val="105"/>
              <w:sz w:val="52"/>
              <w:szCs w:val="52"/>
            </w:rPr>
          </w:pPr>
          <w:r>
            <w:rPr>
              <w:rFonts w:hint="eastAsia" w:ascii="黑体" w:hAnsi="黑体" w:eastAsia="黑体"/>
              <w:w w:val="105"/>
              <w:sz w:val="52"/>
              <w:szCs w:val="52"/>
            </w:rPr>
            <w:t>第1部分：体外细胞毒性试验</w:t>
          </w:r>
        </w:p>
        <w:p>
          <w:pPr>
            <w:widowControl/>
            <w:jc w:val="center"/>
            <w:rPr>
              <w:rFonts w:ascii="黑体" w:hAnsi="黑体" w:eastAsia="黑体" w:cs="Times New Roman"/>
              <w:w w:val="105"/>
              <w:sz w:val="28"/>
              <w:szCs w:val="28"/>
            </w:rPr>
          </w:pPr>
          <w:r>
            <w:rPr>
              <w:rFonts w:ascii="黑体" w:hAnsi="黑体" w:eastAsia="黑体" w:cs="Times New Roman"/>
              <w:w w:val="105"/>
              <w:sz w:val="28"/>
              <w:szCs w:val="28"/>
            </w:rPr>
            <w:t>Biological evaluation of fully degraded magnesium alloy drug elution stent——</w:t>
          </w:r>
        </w:p>
        <w:p>
          <w:pPr>
            <w:widowControl/>
            <w:jc w:val="center"/>
            <w:rPr>
              <w:rFonts w:ascii="黑体" w:hAnsi="黑体" w:eastAsia="黑体"/>
              <w:w w:val="105"/>
              <w:sz w:val="28"/>
              <w:szCs w:val="28"/>
            </w:rPr>
          </w:pPr>
          <w:r>
            <w:rPr>
              <w:rFonts w:ascii="黑体" w:hAnsi="黑体" w:eastAsia="黑体" w:cs="Times New Roman"/>
              <w:w w:val="105"/>
              <w:sz w:val="28"/>
              <w:szCs w:val="28"/>
            </w:rPr>
            <w:t>Part1: Tests for in vitro cytotoxicity</w:t>
          </w:r>
        </w:p>
        <w:p>
          <w:pPr>
            <w:widowControl/>
            <w:jc w:val="center"/>
            <w:rPr>
              <w:rFonts w:ascii="黑体" w:hAnsi="黑体" w:eastAsia="黑体"/>
              <w:w w:val="105"/>
              <w:sz w:val="28"/>
              <w:szCs w:val="28"/>
            </w:rPr>
          </w:pPr>
          <w:r>
            <w:rPr>
              <w:rFonts w:hint="eastAsia" w:ascii="黑体" w:hAnsi="黑体" w:eastAsia="黑体"/>
              <w:w w:val="105"/>
              <w:sz w:val="28"/>
              <w:szCs w:val="28"/>
            </w:rPr>
            <w:t>(征求意见稿)</w:t>
          </w:r>
        </w:p>
        <w:p>
          <w:pPr>
            <w:widowControl/>
            <w:jc w:val="center"/>
            <w:rPr>
              <w:rFonts w:ascii="黑体" w:hAnsi="黑体" w:eastAsia="黑体"/>
              <w:w w:val="105"/>
              <w:sz w:val="44"/>
              <w:szCs w:val="44"/>
            </w:rPr>
          </w:pPr>
        </w:p>
        <w:p>
          <w:pPr>
            <w:widowControl/>
            <w:rPr>
              <w:rFonts w:ascii="黑体" w:hAnsi="黑体" w:eastAsia="黑体"/>
              <w:w w:val="105"/>
              <w:sz w:val="44"/>
              <w:szCs w:val="44"/>
            </w:rPr>
          </w:pPr>
        </w:p>
        <w:p>
          <w:pPr>
            <w:widowControl/>
            <w:rPr>
              <w:rFonts w:ascii="黑体" w:hAnsi="黑体" w:eastAsia="黑体"/>
              <w:w w:val="105"/>
              <w:sz w:val="28"/>
              <w:szCs w:val="28"/>
            </w:rPr>
          </w:pPr>
          <w:r>
            <w:rPr>
              <w:rFonts w:hint="eastAsia" w:ascii="黑体" w:hAnsi="黑体" w:eastAsia="黑体"/>
              <w:w w:val="105"/>
              <w:sz w:val="28"/>
              <w:szCs w:val="28"/>
            </w:rPr>
            <w:t>X</w:t>
          </w:r>
          <w:r>
            <w:rPr>
              <w:rFonts w:ascii="黑体" w:hAnsi="黑体" w:eastAsia="黑体"/>
              <w:w w:val="105"/>
              <w:sz w:val="28"/>
              <w:szCs w:val="28"/>
            </w:rPr>
            <w:t>XXX-XX-XX</w:t>
          </w:r>
          <w:r>
            <w:rPr>
              <w:rFonts w:hint="eastAsia" w:ascii="黑体" w:hAnsi="黑体" w:eastAsia="黑体"/>
              <w:w w:val="105"/>
              <w:sz w:val="28"/>
              <w:szCs w:val="28"/>
            </w:rPr>
            <w:t xml:space="preserve">发布 </w:t>
          </w:r>
          <w:r>
            <w:rPr>
              <w:rFonts w:ascii="黑体" w:hAnsi="黑体" w:eastAsia="黑体"/>
              <w:w w:val="105"/>
              <w:sz w:val="28"/>
              <w:szCs w:val="28"/>
            </w:rPr>
            <w:t xml:space="preserve">                          XXXX-XX-XX</w:t>
          </w:r>
          <w:r>
            <w:rPr>
              <w:rFonts w:hint="eastAsia" w:ascii="黑体" w:hAnsi="黑体" w:eastAsia="黑体"/>
              <w:w w:val="105"/>
              <w:sz w:val="28"/>
              <w:szCs w:val="28"/>
            </w:rPr>
            <w:t>实施</w:t>
          </w:r>
        </w:p>
        <w:p>
          <w:pPr>
            <w:widowControl/>
            <w:jc w:val="center"/>
            <w:rPr>
              <w:rFonts w:ascii="黑体" w:hAnsi="黑体" w:eastAsia="黑体"/>
              <w:w w:val="105"/>
              <w:sz w:val="36"/>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10795</wp:posOffset>
                    </wp:positionV>
                    <wp:extent cx="5288915" cy="3810"/>
                    <wp:effectExtent l="0" t="0" r="26035" b="34290"/>
                    <wp:wrapNone/>
                    <wp:docPr id="2" name="直线 3"/>
                    <wp:cNvGraphicFramePr/>
                    <a:graphic xmlns:a="http://schemas.openxmlformats.org/drawingml/2006/main">
                      <a:graphicData uri="http://schemas.microsoft.com/office/word/2010/wordprocessingShape">
                        <wps:wsp>
                          <wps:cNvCnPr/>
                          <wps:spPr>
                            <a:xfrm>
                              <a:off x="0" y="0"/>
                              <a:ext cx="5288915" cy="3810"/>
                            </a:xfrm>
                            <a:prstGeom prst="line">
                              <a:avLst/>
                            </a:prstGeom>
                            <a:ln w="12700" cap="flat" cmpd="sng">
                              <a:solidFill>
                                <a:srgbClr val="000000"/>
                              </a:solidFill>
                              <a:prstDash val="solid"/>
                              <a:miter/>
                              <a:headEnd type="none" w="med" len="med"/>
                              <a:tailEnd type="none" w="med" len="med"/>
                            </a:ln>
                          </wps:spPr>
                          <wps:bodyPr/>
                        </wps:wsp>
                      </a:graphicData>
                    </a:graphic>
                  </wp:anchor>
                </w:drawing>
              </mc:Choice>
              <mc:Fallback>
                <w:pict>
                  <v:line id="直线 3" o:spid="_x0000_s1026" o:spt="20" style="position:absolute;left:0pt;margin-left:0pt;margin-top:0.85pt;height:0.3pt;width:416.45pt;z-index:251662336;mso-width-relative:page;mso-height-relative:page;" filled="f" stroked="t" coordsize="21600,21600" o:gfxdata="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U2ZQ&#10;1gAAAAQBAAAPAAAAAAAAAAEAIAAAACIAAABkcnMvZG93bnJldi54bWxQSwECFAAUAAAACACHTuJA&#10;YCsvIOoBAADdAwAADgAAAAAAAAABACAAAAAlAQAAZHJzL2Uyb0RvYy54bWxQSwUGAAAAAAYABgBZ&#10;AQAAgQUAAAAA&#10;">
                    <v:fill on="f" focussize="0,0"/>
                    <v:stroke weight="1pt" color="#000000" joinstyle="miter"/>
                    <v:imagedata o:title=""/>
                    <o:lock v:ext="edit" aspectratio="f"/>
                  </v:line>
                </w:pict>
              </mc:Fallback>
            </mc:AlternateContent>
          </w:r>
          <w:r>
            <w:rPr>
              <w:rFonts w:hint="eastAsia" w:ascii="黑体" w:hAnsi="黑体" w:eastAsia="黑体"/>
              <w:w w:val="105"/>
              <w:sz w:val="28"/>
              <w:szCs w:val="28"/>
            </w:rPr>
            <w:t>中国生物材料学会 发布</w:t>
          </w:r>
        </w:p>
      </w:sdtContent>
    </w:sdt>
    <w:p>
      <w:pPr>
        <w:jc w:val="center"/>
        <w:rPr>
          <w:rFonts w:ascii="黑体" w:hAnsi="黑体" w:eastAsia="黑体" w:cs="黑体"/>
          <w:sz w:val="32"/>
          <w:szCs w:val="32"/>
        </w:rPr>
        <w:sectPr>
          <w:footerReference r:id="rId3" w:type="default"/>
          <w:pgSz w:w="11906" w:h="16838"/>
          <w:pgMar w:top="1440" w:right="1800" w:bottom="1440" w:left="1800" w:header="851" w:footer="992" w:gutter="0"/>
          <w:pgNumType w:start="1"/>
          <w:cols w:space="425" w:num="1"/>
          <w:docGrid w:type="lines" w:linePitch="312" w:charSpace="0"/>
        </w:sectPr>
      </w:pPr>
    </w:p>
    <w:p>
      <w:pPr>
        <w:jc w:val="center"/>
        <w:rPr>
          <w:rFonts w:ascii="黑体" w:hAnsi="黑体" w:eastAsia="黑体" w:cs="黑体"/>
          <w:sz w:val="32"/>
          <w:szCs w:val="32"/>
        </w:rPr>
      </w:pPr>
      <w:r>
        <w:rPr>
          <w:rFonts w:hint="eastAsia" w:ascii="黑体" w:hAnsi="黑体" w:eastAsia="黑体" w:cs="黑体"/>
          <w:sz w:val="32"/>
          <w:szCs w:val="32"/>
        </w:rPr>
        <w:t xml:space="preserve">目 </w:t>
      </w:r>
      <w:r>
        <w:rPr>
          <w:rFonts w:ascii="黑体" w:hAnsi="黑体" w:eastAsia="黑体" w:cs="黑体"/>
          <w:sz w:val="32"/>
          <w:szCs w:val="32"/>
        </w:rPr>
        <w:t xml:space="preserve"> </w:t>
      </w:r>
      <w:r>
        <w:rPr>
          <w:rFonts w:hint="eastAsia" w:ascii="黑体" w:hAnsi="黑体" w:eastAsia="黑体" w:cs="黑体"/>
          <w:sz w:val="32"/>
          <w:szCs w:val="32"/>
        </w:rPr>
        <w:t>次</w:t>
      </w:r>
    </w:p>
    <w:p/>
    <w:sdt>
      <w:sdtPr>
        <w:rPr>
          <w:rFonts w:ascii="宋体" w:hAnsi="宋体" w:eastAsia="宋体" w:cs="Times New Roman"/>
          <w:kern w:val="0"/>
          <w:sz w:val="20"/>
          <w:szCs w:val="20"/>
        </w:rPr>
        <w:id w:val="147457439"/>
        <w:docPartObj>
          <w:docPartGallery w:val="Table of Contents"/>
          <w:docPartUnique/>
        </w:docPartObj>
      </w:sdtPr>
      <w:sdtEndPr>
        <w:rPr>
          <w:rFonts w:ascii="宋体" w:hAnsi="宋体" w:eastAsia="宋体" w:cs="Times New Roman"/>
          <w:kern w:val="0"/>
          <w:sz w:val="20"/>
          <w:szCs w:val="20"/>
        </w:rPr>
      </w:sdtEndPr>
      <w:sdtContent>
        <w:p>
          <w:pPr>
            <w:jc w:val="center"/>
          </w:pPr>
        </w:p>
        <w:p>
          <w:pPr>
            <w:pStyle w:val="10"/>
            <w:tabs>
              <w:tab w:val="right" w:leader="dot" w:pos="8296"/>
            </w:tabs>
            <w:spacing w:before="78" w:beforeLines="25" w:after="78" w:afterLines="25"/>
          </w:pPr>
          <w:r>
            <w:rPr>
              <w:rFonts w:asciiTheme="minorEastAsia" w:hAnsiTheme="minorEastAsia"/>
              <w:szCs w:val="21"/>
            </w:rPr>
            <w:fldChar w:fldCharType="begin"/>
          </w:r>
          <w:r>
            <w:rPr>
              <w:rFonts w:asciiTheme="minorEastAsia" w:hAnsiTheme="minorEastAsia"/>
              <w:szCs w:val="21"/>
            </w:rPr>
            <w:instrText xml:space="preserve">TOC \o "1-1" \h \u </w:instrText>
          </w:r>
          <w:r>
            <w:rPr>
              <w:rFonts w:asciiTheme="minorEastAsia" w:hAnsiTheme="minorEastAsia"/>
              <w:szCs w:val="21"/>
            </w:rPr>
            <w:fldChar w:fldCharType="separate"/>
          </w:r>
          <w:r>
            <w:fldChar w:fldCharType="begin"/>
          </w:r>
          <w:r>
            <w:instrText xml:space="preserve"> HYPERLINK \l "_Toc100929807" </w:instrText>
          </w:r>
          <w:r>
            <w:fldChar w:fldCharType="separate"/>
          </w:r>
          <w:r>
            <w:rPr>
              <w:rStyle w:val="14"/>
              <w:rFonts w:hint="eastAsia"/>
            </w:rPr>
            <w:t>前</w:t>
          </w:r>
          <w:r>
            <w:rPr>
              <w:rStyle w:val="14"/>
            </w:rPr>
            <w:t xml:space="preserve">  </w:t>
          </w:r>
          <w:r>
            <w:rPr>
              <w:rStyle w:val="14"/>
              <w:rFonts w:hint="eastAsia"/>
            </w:rPr>
            <w:t>言</w:t>
          </w:r>
          <w:r>
            <w:tab/>
          </w:r>
          <w:r>
            <w:fldChar w:fldCharType="begin"/>
          </w:r>
          <w:r>
            <w:instrText xml:space="preserve"> PAGEREF _Toc100929807 \h </w:instrText>
          </w:r>
          <w:r>
            <w:fldChar w:fldCharType="separate"/>
          </w:r>
          <w:r>
            <w:t>II</w:t>
          </w:r>
          <w:r>
            <w:fldChar w:fldCharType="end"/>
          </w:r>
          <w:r>
            <w:fldChar w:fldCharType="end"/>
          </w:r>
        </w:p>
        <w:p>
          <w:pPr>
            <w:pStyle w:val="10"/>
            <w:tabs>
              <w:tab w:val="right" w:leader="dot" w:pos="8296"/>
            </w:tabs>
            <w:spacing w:before="78" w:beforeLines="25" w:after="78" w:afterLines="25"/>
          </w:pPr>
          <w:r>
            <w:fldChar w:fldCharType="begin"/>
          </w:r>
          <w:r>
            <w:instrText xml:space="preserve"> HYPERLINK \l "_Toc100929808" </w:instrText>
          </w:r>
          <w:r>
            <w:fldChar w:fldCharType="separate"/>
          </w:r>
          <w:r>
            <w:rPr>
              <w:rStyle w:val="14"/>
              <w:rFonts w:ascii="Times New Roman" w:hAnsi="Times New Roman"/>
            </w:rPr>
            <w:t xml:space="preserve">1 </w:t>
          </w:r>
          <w:r>
            <w:rPr>
              <w:rStyle w:val="14"/>
              <w:rFonts w:hint="eastAsia" w:ascii="Times New Roman" w:hAnsi="Times New Roman"/>
            </w:rPr>
            <w:t>范围</w:t>
          </w:r>
          <w:r>
            <w:tab/>
          </w:r>
          <w:r>
            <w:fldChar w:fldCharType="begin"/>
          </w:r>
          <w:r>
            <w:instrText xml:space="preserve"> PAGEREF _Toc100929808 \h </w:instrText>
          </w:r>
          <w:r>
            <w:fldChar w:fldCharType="separate"/>
          </w:r>
          <w:r>
            <w:t>1</w:t>
          </w:r>
          <w:r>
            <w:fldChar w:fldCharType="end"/>
          </w:r>
          <w:r>
            <w:fldChar w:fldCharType="end"/>
          </w:r>
        </w:p>
        <w:p>
          <w:pPr>
            <w:pStyle w:val="10"/>
            <w:tabs>
              <w:tab w:val="right" w:leader="dot" w:pos="8296"/>
            </w:tabs>
            <w:spacing w:before="78" w:beforeLines="25" w:after="78" w:afterLines="25"/>
          </w:pPr>
          <w:r>
            <w:fldChar w:fldCharType="begin"/>
          </w:r>
          <w:r>
            <w:instrText xml:space="preserve"> HYPERLINK \l "_Toc100929809" </w:instrText>
          </w:r>
          <w:r>
            <w:fldChar w:fldCharType="separate"/>
          </w:r>
          <w:r>
            <w:rPr>
              <w:rStyle w:val="14"/>
              <w:rFonts w:ascii="Times New Roman" w:hAnsi="Times New Roman"/>
            </w:rPr>
            <w:t xml:space="preserve">2 </w:t>
          </w:r>
          <w:r>
            <w:rPr>
              <w:rStyle w:val="14"/>
              <w:rFonts w:hint="eastAsia" w:ascii="Times New Roman" w:hAnsi="Times New Roman"/>
            </w:rPr>
            <w:t>规范性引用文件</w:t>
          </w:r>
          <w:r>
            <w:tab/>
          </w:r>
          <w:r>
            <w:fldChar w:fldCharType="begin"/>
          </w:r>
          <w:r>
            <w:instrText xml:space="preserve"> PAGEREF _Toc100929809 \h </w:instrText>
          </w:r>
          <w:r>
            <w:fldChar w:fldCharType="separate"/>
          </w:r>
          <w:r>
            <w:t>1</w:t>
          </w:r>
          <w:r>
            <w:fldChar w:fldCharType="end"/>
          </w:r>
          <w:r>
            <w:fldChar w:fldCharType="end"/>
          </w:r>
        </w:p>
        <w:p>
          <w:pPr>
            <w:pStyle w:val="10"/>
            <w:tabs>
              <w:tab w:val="right" w:leader="dot" w:pos="8296"/>
            </w:tabs>
            <w:spacing w:before="78" w:beforeLines="25" w:after="78" w:afterLines="25"/>
          </w:pPr>
          <w:r>
            <w:fldChar w:fldCharType="begin"/>
          </w:r>
          <w:r>
            <w:instrText xml:space="preserve"> HYPERLINK \l "_Toc100929810" </w:instrText>
          </w:r>
          <w:r>
            <w:fldChar w:fldCharType="separate"/>
          </w:r>
          <w:r>
            <w:rPr>
              <w:rStyle w:val="14"/>
              <w:rFonts w:ascii="Times New Roman" w:hAnsi="Times New Roman"/>
            </w:rPr>
            <w:t xml:space="preserve">3 </w:t>
          </w:r>
          <w:r>
            <w:rPr>
              <w:rStyle w:val="14"/>
              <w:rFonts w:hint="eastAsia" w:ascii="Times New Roman" w:hAnsi="Times New Roman"/>
            </w:rPr>
            <w:t>术语与定义</w:t>
          </w:r>
          <w:r>
            <w:tab/>
          </w:r>
          <w:r>
            <w:fldChar w:fldCharType="begin"/>
          </w:r>
          <w:r>
            <w:instrText xml:space="preserve"> PAGEREF _Toc100929810 \h </w:instrText>
          </w:r>
          <w:r>
            <w:fldChar w:fldCharType="separate"/>
          </w:r>
          <w:r>
            <w:t>1</w:t>
          </w:r>
          <w:r>
            <w:fldChar w:fldCharType="end"/>
          </w:r>
          <w:r>
            <w:fldChar w:fldCharType="end"/>
          </w:r>
        </w:p>
        <w:p>
          <w:pPr>
            <w:pStyle w:val="10"/>
            <w:tabs>
              <w:tab w:val="right" w:leader="dot" w:pos="8296"/>
            </w:tabs>
            <w:spacing w:before="78" w:beforeLines="25" w:after="78" w:afterLines="25"/>
          </w:pPr>
          <w:r>
            <w:fldChar w:fldCharType="begin"/>
          </w:r>
          <w:r>
            <w:instrText xml:space="preserve"> HYPERLINK \l "_Toc100929811" </w:instrText>
          </w:r>
          <w:r>
            <w:fldChar w:fldCharType="separate"/>
          </w:r>
          <w:r>
            <w:rPr>
              <w:rStyle w:val="14"/>
              <w:rFonts w:ascii="Times New Roman" w:hAnsi="Times New Roman"/>
            </w:rPr>
            <w:t xml:space="preserve">4 </w:t>
          </w:r>
          <w:r>
            <w:rPr>
              <w:rStyle w:val="14"/>
              <w:rFonts w:hint="eastAsia" w:ascii="Times New Roman" w:hAnsi="Times New Roman"/>
            </w:rPr>
            <w:t>缩略语</w:t>
          </w:r>
          <w:r>
            <w:tab/>
          </w:r>
          <w:r>
            <w:fldChar w:fldCharType="begin"/>
          </w:r>
          <w:r>
            <w:instrText xml:space="preserve"> PAGEREF _Toc100929811 \h </w:instrText>
          </w:r>
          <w:r>
            <w:fldChar w:fldCharType="separate"/>
          </w:r>
          <w:r>
            <w:t>1</w:t>
          </w:r>
          <w:r>
            <w:fldChar w:fldCharType="end"/>
          </w:r>
          <w:r>
            <w:fldChar w:fldCharType="end"/>
          </w:r>
        </w:p>
        <w:p>
          <w:pPr>
            <w:pStyle w:val="10"/>
            <w:tabs>
              <w:tab w:val="right" w:leader="dot" w:pos="8296"/>
            </w:tabs>
            <w:spacing w:before="78" w:beforeLines="25" w:after="78" w:afterLines="25"/>
          </w:pPr>
          <w:r>
            <w:fldChar w:fldCharType="begin"/>
          </w:r>
          <w:r>
            <w:instrText xml:space="preserve"> HYPERLINK \l "_Toc100929812" </w:instrText>
          </w:r>
          <w:r>
            <w:fldChar w:fldCharType="separate"/>
          </w:r>
          <w:r>
            <w:rPr>
              <w:rStyle w:val="14"/>
              <w:rFonts w:ascii="Times New Roman" w:hAnsi="Times New Roman"/>
            </w:rPr>
            <w:t>5</w:t>
          </w:r>
          <w:r>
            <w:rPr>
              <w:rStyle w:val="14"/>
              <w:rFonts w:hint="eastAsia" w:ascii="Times New Roman" w:hAnsi="Times New Roman"/>
            </w:rPr>
            <w:t>材料和对照品浸提液的制备</w:t>
          </w:r>
          <w:r>
            <w:tab/>
          </w:r>
          <w:r>
            <w:fldChar w:fldCharType="begin"/>
          </w:r>
          <w:r>
            <w:instrText xml:space="preserve"> PAGEREF _Toc100929812 \h </w:instrText>
          </w:r>
          <w:r>
            <w:fldChar w:fldCharType="separate"/>
          </w:r>
          <w:r>
            <w:t>1</w:t>
          </w:r>
          <w:r>
            <w:fldChar w:fldCharType="end"/>
          </w:r>
          <w:r>
            <w:fldChar w:fldCharType="end"/>
          </w:r>
        </w:p>
        <w:p>
          <w:pPr>
            <w:pStyle w:val="10"/>
            <w:tabs>
              <w:tab w:val="right" w:leader="dot" w:pos="8296"/>
            </w:tabs>
            <w:spacing w:before="78" w:beforeLines="25" w:after="78" w:afterLines="25"/>
          </w:pPr>
          <w:r>
            <w:fldChar w:fldCharType="begin"/>
          </w:r>
          <w:r>
            <w:instrText xml:space="preserve"> HYPERLINK \l "_Toc100929815" </w:instrText>
          </w:r>
          <w:r>
            <w:fldChar w:fldCharType="separate"/>
          </w:r>
          <w:r>
            <w:rPr>
              <w:rStyle w:val="14"/>
              <w:rFonts w:ascii="Times New Roman" w:hAnsi="Times New Roman"/>
            </w:rPr>
            <w:t xml:space="preserve">6 </w:t>
          </w:r>
          <w:r>
            <w:rPr>
              <w:rStyle w:val="14"/>
              <w:rFonts w:hint="eastAsia" w:ascii="Times New Roman" w:hAnsi="Times New Roman"/>
            </w:rPr>
            <w:t>细胞制备</w:t>
          </w:r>
          <w:r>
            <w:tab/>
          </w:r>
          <w:r>
            <w:fldChar w:fldCharType="begin"/>
          </w:r>
          <w:r>
            <w:instrText xml:space="preserve"> PAGEREF _Toc100929815 \h </w:instrText>
          </w:r>
          <w:r>
            <w:fldChar w:fldCharType="separate"/>
          </w:r>
          <w:r>
            <w:t>2</w:t>
          </w:r>
          <w:r>
            <w:fldChar w:fldCharType="end"/>
          </w:r>
          <w:r>
            <w:fldChar w:fldCharType="end"/>
          </w:r>
        </w:p>
        <w:p>
          <w:pPr>
            <w:pStyle w:val="10"/>
            <w:tabs>
              <w:tab w:val="right" w:leader="dot" w:pos="8296"/>
            </w:tabs>
            <w:spacing w:before="78" w:beforeLines="25" w:after="78" w:afterLines="25"/>
          </w:pPr>
          <w:r>
            <w:fldChar w:fldCharType="begin"/>
          </w:r>
          <w:r>
            <w:instrText xml:space="preserve"> HYPERLINK \l "_Toc100929816" </w:instrText>
          </w:r>
          <w:r>
            <w:fldChar w:fldCharType="separate"/>
          </w:r>
          <w:r>
            <w:rPr>
              <w:rStyle w:val="14"/>
              <w:rFonts w:ascii="Times New Roman" w:hAnsi="Times New Roman"/>
            </w:rPr>
            <w:t xml:space="preserve">7 </w:t>
          </w:r>
          <w:r>
            <w:rPr>
              <w:rStyle w:val="14"/>
              <w:rFonts w:hint="eastAsia" w:ascii="Times New Roman" w:hAnsi="Times New Roman"/>
            </w:rPr>
            <w:t>试验步骤</w:t>
          </w:r>
          <w:r>
            <w:tab/>
          </w:r>
          <w:r>
            <w:fldChar w:fldCharType="begin"/>
          </w:r>
          <w:r>
            <w:instrText xml:space="preserve"> PAGEREF _Toc100929816 \h </w:instrText>
          </w:r>
          <w:r>
            <w:fldChar w:fldCharType="separate"/>
          </w:r>
          <w:r>
            <w:t>2</w:t>
          </w:r>
          <w:r>
            <w:fldChar w:fldCharType="end"/>
          </w:r>
          <w:r>
            <w:fldChar w:fldCharType="end"/>
          </w:r>
        </w:p>
        <w:p>
          <w:pPr>
            <w:pStyle w:val="10"/>
            <w:tabs>
              <w:tab w:val="right" w:leader="dot" w:pos="8296"/>
            </w:tabs>
            <w:spacing w:before="78" w:beforeLines="25" w:after="78" w:afterLines="25"/>
          </w:pPr>
          <w:r>
            <w:fldChar w:fldCharType="begin"/>
          </w:r>
          <w:r>
            <w:instrText xml:space="preserve"> HYPERLINK \l "_Toc100929823" </w:instrText>
          </w:r>
          <w:r>
            <w:fldChar w:fldCharType="separate"/>
          </w:r>
          <w:r>
            <w:rPr>
              <w:rStyle w:val="14"/>
              <w:rFonts w:asciiTheme="minorEastAsia" w:hAnsiTheme="minorEastAsia"/>
            </w:rPr>
            <w:t>8</w:t>
          </w:r>
          <w:r>
            <w:rPr>
              <w:rStyle w:val="14"/>
              <w:rFonts w:hint="eastAsia" w:ascii="黑体" w:hAnsi="黑体"/>
            </w:rPr>
            <w:t>数据记录</w:t>
          </w:r>
          <w:r>
            <w:tab/>
          </w:r>
          <w:r>
            <w:fldChar w:fldCharType="begin"/>
          </w:r>
          <w:r>
            <w:instrText xml:space="preserve"> PAGEREF _Toc100929823 \h </w:instrText>
          </w:r>
          <w:r>
            <w:fldChar w:fldCharType="separate"/>
          </w:r>
          <w:r>
            <w:t>3</w:t>
          </w:r>
          <w:r>
            <w:fldChar w:fldCharType="end"/>
          </w:r>
          <w:r>
            <w:fldChar w:fldCharType="end"/>
          </w:r>
        </w:p>
        <w:p>
          <w:pPr>
            <w:pStyle w:val="20"/>
            <w:tabs>
              <w:tab w:val="right" w:leader="dot" w:pos="8306"/>
            </w:tabs>
            <w:spacing w:before="78" w:beforeLines="25" w:after="78" w:afterLines="25"/>
            <w:rPr>
              <w:rFonts w:ascii="宋体" w:hAnsi="宋体" w:cs="宋体"/>
              <w:sz w:val="21"/>
              <w:szCs w:val="21"/>
            </w:rPr>
          </w:pPr>
          <w:r>
            <w:rPr>
              <w:rFonts w:asciiTheme="minorEastAsia" w:hAnsiTheme="minorEastAsia" w:eastAsiaTheme="minorEastAsia"/>
              <w:sz w:val="21"/>
              <w:szCs w:val="21"/>
            </w:rPr>
            <w:fldChar w:fldCharType="end"/>
          </w:r>
          <w:r>
            <w:rPr>
              <w:rFonts w:cs="宋体" w:asciiTheme="minorEastAsia" w:hAnsiTheme="minorEastAsia" w:eastAsiaTheme="minorEastAsia"/>
              <w:sz w:val="21"/>
              <w:szCs w:val="21"/>
            </w:rPr>
            <w:t>9</w:t>
          </w:r>
          <w:r>
            <w:rPr>
              <w:rFonts w:asciiTheme="minorEastAsia" w:hAnsiTheme="minorEastAsia" w:eastAsiaTheme="minorEastAsia"/>
              <w:sz w:val="21"/>
              <w:szCs w:val="21"/>
            </w:rPr>
            <w:t>数据分析</w:t>
          </w:r>
          <w:r>
            <w:rPr>
              <w:rFonts w:ascii="宋体" w:hAnsi="宋体" w:cs="宋体"/>
              <w:sz w:val="21"/>
              <w:szCs w:val="21"/>
            </w:rPr>
            <w:tab/>
          </w:r>
          <w:r>
            <w:rPr>
              <w:rFonts w:hint="eastAsia" w:ascii="宋体" w:hAnsi="宋体" w:cs="宋体"/>
              <w:sz w:val="21"/>
              <w:szCs w:val="21"/>
            </w:rPr>
            <w:fldChar w:fldCharType="begin"/>
          </w:r>
          <w:r>
            <w:rPr>
              <w:rFonts w:hint="eastAsia" w:ascii="宋体" w:hAnsi="宋体" w:cs="宋体"/>
              <w:sz w:val="21"/>
              <w:szCs w:val="21"/>
            </w:rPr>
            <w:instrText xml:space="preserve"> PAGEREF _Toc24752 </w:instrText>
          </w:r>
          <w:r>
            <w:rPr>
              <w:rFonts w:hint="eastAsia" w:ascii="宋体" w:hAnsi="宋体" w:cs="宋体"/>
              <w:sz w:val="21"/>
              <w:szCs w:val="21"/>
            </w:rPr>
            <w:fldChar w:fldCharType="separate"/>
          </w:r>
          <w:r>
            <w:rPr>
              <w:rFonts w:hint="eastAsia" w:ascii="宋体" w:hAnsi="宋体" w:cs="宋体"/>
              <w:sz w:val="21"/>
              <w:szCs w:val="21"/>
            </w:rPr>
            <w:t>3</w:t>
          </w:r>
          <w:r>
            <w:rPr>
              <w:rFonts w:hint="eastAsia" w:ascii="宋体" w:hAnsi="宋体" w:cs="宋体"/>
              <w:sz w:val="21"/>
              <w:szCs w:val="21"/>
            </w:rPr>
            <w:fldChar w:fldCharType="end"/>
          </w:r>
        </w:p>
      </w:sdtContent>
    </w:sdt>
    <w:p>
      <w:r>
        <w:rPr>
          <w:rFonts w:hint="eastAsia"/>
        </w:rPr>
        <w:br w:type="page"/>
      </w:r>
    </w:p>
    <w:p>
      <w:pPr>
        <w:pStyle w:val="2"/>
        <w:jc w:val="center"/>
        <w:rPr>
          <w:rFonts w:hint="default"/>
          <w:sz w:val="32"/>
          <w:szCs w:val="32"/>
        </w:rPr>
      </w:pPr>
      <w:bookmarkStart w:id="0" w:name="_Toc100929807"/>
      <w:r>
        <w:rPr>
          <w:sz w:val="32"/>
          <w:szCs w:val="32"/>
        </w:rPr>
        <w:t xml:space="preserve">前 </w:t>
      </w:r>
      <w:r>
        <w:rPr>
          <w:rFonts w:hint="default"/>
          <w:sz w:val="32"/>
          <w:szCs w:val="32"/>
        </w:rPr>
        <w:t xml:space="preserve"> </w:t>
      </w:r>
      <w:r>
        <w:rPr>
          <w:sz w:val="32"/>
          <w:szCs w:val="32"/>
        </w:rPr>
        <w:t>言</w:t>
      </w:r>
      <w:bookmarkEnd w:id="0"/>
    </w:p>
    <w:p>
      <w:pPr>
        <w:ind w:firstLine="420" w:firstLineChars="200"/>
        <w:rPr>
          <w:rFonts w:ascii="Times New Roman" w:hAnsi="Times New Roman" w:eastAsia="宋体" w:cs="Times New Roman"/>
        </w:rPr>
      </w:pPr>
      <w:r>
        <w:rPr>
          <w:rFonts w:hint="eastAsia" w:ascii="Times New Roman" w:hAnsi="Times New Roman" w:eastAsia="宋体" w:cs="Times New Roman"/>
        </w:rPr>
        <w:t>本标准是全降解镁合金药物洗脱支架生物学评价系列标准之一，其目前包括以下标准：</w:t>
      </w:r>
    </w:p>
    <w:p>
      <w:pPr>
        <w:ind w:firstLine="420" w:firstLineChars="200"/>
        <w:rPr>
          <w:rFonts w:ascii="Times New Roman" w:hAnsi="Times New Roman" w:eastAsia="宋体" w:cs="Times New Roman"/>
        </w:rPr>
      </w:pPr>
      <w:r>
        <w:rPr>
          <w:rFonts w:ascii="Times New Roman" w:hAnsi="Times New Roman" w:eastAsia="宋体" w:cs="Times New Roman"/>
        </w:rPr>
        <w:t>——XXXXXX《全降解镁合金药物洗脱支架</w:t>
      </w:r>
      <w:r>
        <w:rPr>
          <w:rFonts w:hint="eastAsia" w:ascii="Times New Roman" w:hAnsi="Times New Roman" w:eastAsia="宋体" w:cs="Times New Roman"/>
        </w:rPr>
        <w:t>生物学评价</w:t>
      </w:r>
      <w:r>
        <w:rPr>
          <w:rFonts w:ascii="Times New Roman" w:hAnsi="Times New Roman" w:eastAsia="宋体" w:cs="Times New Roman"/>
        </w:rPr>
        <w:t>第1部分：</w:t>
      </w:r>
      <w:r>
        <w:rPr>
          <w:rFonts w:hint="eastAsia" w:ascii="Times New Roman" w:hAnsi="Times New Roman" w:eastAsia="宋体" w:cs="Times New Roman"/>
        </w:rPr>
        <w:t>体外细胞毒性试验</w:t>
      </w:r>
      <w:r>
        <w:rPr>
          <w:rFonts w:ascii="Times New Roman" w:hAnsi="Times New Roman" w:eastAsia="宋体" w:cs="Times New Roman"/>
        </w:rPr>
        <w:t>》；</w:t>
      </w:r>
    </w:p>
    <w:p>
      <w:pPr>
        <w:ind w:firstLine="420" w:firstLineChars="200"/>
        <w:rPr>
          <w:rFonts w:ascii="Times New Roman" w:hAnsi="Times New Roman" w:eastAsia="宋体" w:cs="Times New Roman"/>
        </w:rPr>
      </w:pPr>
      <w:r>
        <w:rPr>
          <w:rFonts w:ascii="Times New Roman" w:hAnsi="Times New Roman" w:eastAsia="宋体" w:cs="Times New Roman"/>
        </w:rPr>
        <w:t>——XXXXXX《全降解镁合金药物洗脱支架</w:t>
      </w:r>
      <w:r>
        <w:rPr>
          <w:rFonts w:hint="eastAsia" w:ascii="Times New Roman" w:hAnsi="Times New Roman" w:eastAsia="宋体" w:cs="Times New Roman"/>
        </w:rPr>
        <w:t>生物学评价</w:t>
      </w:r>
      <w:r>
        <w:rPr>
          <w:rFonts w:ascii="Times New Roman" w:hAnsi="Times New Roman" w:eastAsia="宋体" w:cs="Times New Roman"/>
        </w:rPr>
        <w:t>第2部分：</w:t>
      </w:r>
      <w:r>
        <w:rPr>
          <w:rFonts w:hint="eastAsia" w:ascii="Times New Roman" w:hAnsi="Times New Roman" w:eastAsia="宋体" w:cs="Times New Roman"/>
        </w:rPr>
        <w:t>溶血试验</w:t>
      </w:r>
      <w:r>
        <w:rPr>
          <w:rFonts w:ascii="Times New Roman" w:hAnsi="Times New Roman" w:eastAsia="宋体" w:cs="Times New Roman"/>
        </w:rPr>
        <w:t>》</w:t>
      </w:r>
      <w:r>
        <w:rPr>
          <w:rFonts w:hint="eastAsia" w:ascii="Times New Roman" w:hAnsi="Times New Roman" w:eastAsia="宋体" w:cs="Times New Roman"/>
        </w:rPr>
        <w:t>。</w:t>
      </w:r>
    </w:p>
    <w:p>
      <w:pPr>
        <w:ind w:firstLine="420" w:firstLineChars="200"/>
        <w:rPr>
          <w:rFonts w:ascii="Times New Roman" w:hAnsi="Times New Roman" w:eastAsia="宋体" w:cs="Times New Roman"/>
        </w:rPr>
      </w:pPr>
      <w:r>
        <w:rPr>
          <w:rFonts w:hint="eastAsia" w:ascii="Times New Roman" w:hAnsi="Times New Roman" w:eastAsia="宋体" w:cs="Times New Roman"/>
        </w:rPr>
        <w:t>本标准依据GB/T 16886.5的原则起草。</w:t>
      </w:r>
    </w:p>
    <w:p>
      <w:pPr>
        <w:ind w:firstLine="420" w:firstLineChars="200"/>
        <w:rPr>
          <w:rFonts w:ascii="Times New Roman" w:hAnsi="Times New Roman" w:eastAsia="宋体" w:cs="Times New Roman"/>
        </w:rPr>
      </w:pPr>
      <w:r>
        <w:rPr>
          <w:rFonts w:ascii="Times New Roman" w:hAnsi="Times New Roman" w:eastAsia="宋体" w:cs="Times New Roman"/>
        </w:rPr>
        <w:t>请注意，本标准的某些内容有可能涉及专利。本标准的发布机构不应承担识别这些专利的责任。</w:t>
      </w:r>
    </w:p>
    <w:p>
      <w:pPr>
        <w:ind w:firstLine="420" w:firstLineChars="200"/>
        <w:rPr>
          <w:rFonts w:ascii="Times New Roman" w:hAnsi="Times New Roman" w:eastAsia="宋体" w:cs="Times New Roman"/>
        </w:rPr>
      </w:pPr>
      <w:r>
        <w:rPr>
          <w:rFonts w:ascii="Times New Roman" w:hAnsi="Times New Roman" w:eastAsia="宋体" w:cs="Times New Roman"/>
        </w:rPr>
        <w:t>本标准由上海美港沣沅医疗器械有限公司提出。</w:t>
      </w:r>
    </w:p>
    <w:p>
      <w:pPr>
        <w:ind w:firstLine="420" w:firstLineChars="200"/>
        <w:rPr>
          <w:rFonts w:ascii="Times New Roman" w:hAnsi="Times New Roman" w:eastAsia="宋体" w:cs="Times New Roman"/>
        </w:rPr>
      </w:pPr>
      <w:r>
        <w:rPr>
          <w:rFonts w:ascii="Times New Roman" w:hAnsi="Times New Roman" w:eastAsia="宋体" w:cs="Times New Roman"/>
        </w:rPr>
        <w:t>本标准由中国生物材料学会归口。</w:t>
      </w:r>
    </w:p>
    <w:p>
      <w:pPr>
        <w:ind w:firstLine="420" w:firstLineChars="200"/>
        <w:rPr>
          <w:rFonts w:ascii="Times New Roman" w:hAnsi="Times New Roman" w:eastAsia="宋体" w:cs="Times New Roman"/>
        </w:rPr>
      </w:pPr>
      <w:r>
        <w:rPr>
          <w:rFonts w:ascii="Times New Roman" w:hAnsi="Times New Roman" w:eastAsia="宋体" w:cs="Times New Roman"/>
        </w:rPr>
        <w:t>本标准起草单位：上海美港沣沅医疗器械有限公司、中国食品药品检定研究院、</w:t>
      </w:r>
      <w:r>
        <w:rPr>
          <w:rFonts w:hint="eastAsia" w:ascii="Times New Roman" w:hAnsi="Times New Roman" w:eastAsia="宋体" w:cs="Times New Roman"/>
        </w:rPr>
        <w:t>四川省医疗器械检测中心、</w:t>
      </w:r>
      <w:r>
        <w:rPr>
          <w:rFonts w:ascii="Times New Roman" w:hAnsi="Times New Roman" w:eastAsia="宋体" w:cs="Times New Roman"/>
        </w:rPr>
        <w:t>东南大学苏州医疗器械研究院</w:t>
      </w:r>
      <w:r>
        <w:rPr>
          <w:rFonts w:hint="eastAsia" w:ascii="Times New Roman" w:hAnsi="Times New Roman" w:eastAsia="宋体" w:cs="Times New Roman"/>
        </w:rPr>
        <w:t>、</w:t>
      </w:r>
      <w:r>
        <w:rPr>
          <w:rFonts w:ascii="Times New Roman" w:hAnsi="Times New Roman" w:eastAsia="宋体" w:cs="Times New Roman"/>
        </w:rPr>
        <w:t>北京大学、</w:t>
      </w:r>
      <w:r>
        <w:rPr>
          <w:rFonts w:hint="eastAsia" w:ascii="Times New Roman" w:hAnsi="Times New Roman" w:eastAsia="宋体" w:cs="Times New Roman"/>
        </w:rPr>
        <w:t>天津市医疗器械质量监督检验中心</w:t>
      </w:r>
      <w:r>
        <w:rPr>
          <w:rFonts w:ascii="Times New Roman" w:hAnsi="Times New Roman" w:eastAsia="宋体" w:cs="Times New Roman"/>
        </w:rPr>
        <w:t>。</w:t>
      </w:r>
    </w:p>
    <w:p>
      <w:pPr>
        <w:ind w:firstLine="420" w:firstLineChars="200"/>
        <w:rPr>
          <w:rFonts w:ascii="黑体" w:hAnsi="黑体" w:cs="黑体"/>
          <w:b/>
          <w:bCs/>
          <w:szCs w:val="21"/>
        </w:rPr>
        <w:sectPr>
          <w:footerReference r:id="rId4" w:type="default"/>
          <w:pgSz w:w="11906" w:h="16838"/>
          <w:pgMar w:top="1440" w:right="1800" w:bottom="1440" w:left="1800" w:header="851" w:footer="992" w:gutter="0"/>
          <w:pgNumType w:fmt="upperRoman" w:start="1"/>
          <w:cols w:space="425" w:num="1"/>
          <w:docGrid w:type="lines" w:linePitch="312" w:charSpace="0"/>
        </w:sectPr>
      </w:pPr>
      <w:r>
        <w:rPr>
          <w:rFonts w:ascii="Times New Roman" w:hAnsi="Times New Roman" w:eastAsia="宋体" w:cs="Times New Roman"/>
        </w:rPr>
        <w:t>本标准起草人：</w:t>
      </w:r>
      <w:r>
        <w:rPr>
          <w:rFonts w:hint="eastAsia" w:ascii="Times New Roman" w:hAnsi="Times New Roman" w:eastAsia="宋体" w:cs="Times New Roman"/>
        </w:rPr>
        <w:t>万子义、付海洋、黄婷、白晶、奚廷斐、袁博。</w:t>
      </w:r>
    </w:p>
    <w:p>
      <w:pPr>
        <w:widowControl/>
        <w:jc w:val="center"/>
        <w:rPr>
          <w:rFonts w:ascii="黑体" w:hAnsi="黑体" w:eastAsia="黑体"/>
          <w:w w:val="105"/>
          <w:sz w:val="32"/>
          <w:szCs w:val="32"/>
        </w:rPr>
      </w:pPr>
      <w:r>
        <w:rPr>
          <w:rFonts w:hint="eastAsia" w:ascii="黑体" w:hAnsi="黑体" w:eastAsia="黑体"/>
          <w:w w:val="105"/>
          <w:sz w:val="32"/>
          <w:szCs w:val="32"/>
        </w:rPr>
        <w:t>全降解镁合金药物洗脱支架生物学评价</w:t>
      </w:r>
    </w:p>
    <w:p>
      <w:pPr>
        <w:widowControl/>
        <w:jc w:val="center"/>
        <w:rPr>
          <w:rFonts w:ascii="黑体" w:hAnsi="黑体"/>
          <w:w w:val="105"/>
          <w:sz w:val="32"/>
          <w:szCs w:val="32"/>
        </w:rPr>
      </w:pPr>
      <w:r>
        <w:rPr>
          <w:rFonts w:hint="eastAsia" w:ascii="黑体" w:hAnsi="黑体" w:eastAsia="黑体"/>
          <w:w w:val="105"/>
          <w:sz w:val="32"/>
          <w:szCs w:val="32"/>
        </w:rPr>
        <w:t>第</w:t>
      </w:r>
      <w:r>
        <w:rPr>
          <w:rFonts w:ascii="黑体" w:hAnsi="黑体" w:eastAsia="黑体"/>
          <w:w w:val="105"/>
          <w:sz w:val="32"/>
          <w:szCs w:val="32"/>
        </w:rPr>
        <w:t>1部分：体外细胞毒性试验</w:t>
      </w:r>
    </w:p>
    <w:p>
      <w:pPr>
        <w:pStyle w:val="2"/>
        <w:rPr>
          <w:rFonts w:hint="default" w:ascii="Times New Roman" w:hAnsi="Times New Roman"/>
          <w:szCs w:val="21"/>
        </w:rPr>
      </w:pPr>
      <w:bookmarkStart w:id="1" w:name="_Toc100929808"/>
      <w:r>
        <w:rPr>
          <w:rFonts w:hint="default" w:ascii="Times New Roman" w:hAnsi="Times New Roman"/>
          <w:szCs w:val="21"/>
        </w:rPr>
        <w:t>1 范围</w:t>
      </w:r>
      <w:bookmarkEnd w:id="1"/>
    </w:p>
    <w:p>
      <w:pPr>
        <w:ind w:firstLine="420" w:firstLineChars="200"/>
        <w:rPr>
          <w:rFonts w:ascii="Times New Roman" w:hAnsi="Times New Roman" w:cs="Times New Roman"/>
        </w:rPr>
      </w:pPr>
      <w:r>
        <w:rPr>
          <w:rFonts w:ascii="Times New Roman" w:hAnsi="Times New Roman" w:cs="Times New Roman"/>
        </w:rPr>
        <w:t>本标准规定了用</w:t>
      </w:r>
      <w:r>
        <w:rPr>
          <w:rFonts w:hint="eastAsia" w:ascii="Times New Roman" w:hAnsi="Times New Roman" w:cs="Times New Roman"/>
        </w:rPr>
        <w:t>M</w:t>
      </w:r>
      <w:r>
        <w:rPr>
          <w:rFonts w:ascii="Times New Roman" w:hAnsi="Times New Roman" w:cs="Times New Roman"/>
        </w:rPr>
        <w:t>TT试验评定全降解镁合金药物洗脱支架体外细胞毒性的试验方法。</w:t>
      </w:r>
    </w:p>
    <w:p>
      <w:pPr>
        <w:pStyle w:val="2"/>
        <w:rPr>
          <w:rFonts w:hint="default" w:ascii="Times New Roman" w:hAnsi="Times New Roman"/>
        </w:rPr>
      </w:pPr>
      <w:bookmarkStart w:id="2" w:name="_Toc100929809"/>
      <w:r>
        <w:rPr>
          <w:rFonts w:hint="default" w:ascii="Times New Roman" w:hAnsi="Times New Roman"/>
        </w:rPr>
        <w:t>2 规范性引用文件</w:t>
      </w:r>
      <w:bookmarkEnd w:id="2"/>
    </w:p>
    <w:p>
      <w:pPr>
        <w:ind w:firstLine="420" w:firstLineChars="200"/>
        <w:rPr>
          <w:rFonts w:ascii="Times New Roman" w:hAnsi="Times New Roman" w:eastAsia="宋体" w:cs="Times New Roman"/>
        </w:rPr>
      </w:pPr>
      <w:r>
        <w:rPr>
          <w:rFonts w:ascii="Times New Roman" w:hAnsi="Times New Roman" w:eastAsia="宋体" w:cs="Times New Roman"/>
        </w:rPr>
        <w:t>下列文件对于本文件的应用是必不可少的。凡注日期的引用文件，仅注日期的版本适用于本文件。凡不注日期的引用文件，其最新版本（包括所有的修改单）适用于本文件。</w:t>
      </w:r>
    </w:p>
    <w:p>
      <w:pPr>
        <w:ind w:firstLine="420" w:firstLineChars="200"/>
        <w:rPr>
          <w:rFonts w:ascii="Times New Roman" w:hAnsi="Times New Roman" w:eastAsia="宋体" w:cs="Times New Roman"/>
        </w:rPr>
      </w:pPr>
      <w:r>
        <w:rPr>
          <w:rFonts w:ascii="Times New Roman" w:hAnsi="Times New Roman" w:eastAsia="宋体" w:cs="Times New Roman"/>
        </w:rPr>
        <w:t>GB/T 16886.5-2017 医疗器械生物学评价第5部分：体外细胞毒性试验（Biological evaluation of medical devices-Part 5:Tests for in vitro cytotoxicity）</w:t>
      </w:r>
    </w:p>
    <w:p>
      <w:pPr>
        <w:ind w:firstLine="420" w:firstLineChars="200"/>
        <w:rPr>
          <w:rFonts w:ascii="Times New Roman" w:hAnsi="Times New Roman" w:eastAsia="宋体" w:cs="Times New Roman"/>
        </w:rPr>
      </w:pPr>
      <w:r>
        <w:rPr>
          <w:rFonts w:ascii="Times New Roman" w:hAnsi="Times New Roman" w:eastAsia="宋体" w:cs="Times New Roman"/>
        </w:rPr>
        <w:t>GB/T 16886.12 医疗器械生物学评价第12部分：样品制备与参照材料（Biological evaluation of medical devices-Part 12:Sample preparation and reference materials）</w:t>
      </w:r>
    </w:p>
    <w:p>
      <w:pPr>
        <w:rPr>
          <w:rFonts w:ascii="Times New Roman" w:hAnsi="Times New Roman" w:eastAsia="宋体" w:cs="Times New Roman"/>
        </w:rPr>
      </w:pPr>
    </w:p>
    <w:p>
      <w:pPr>
        <w:pStyle w:val="2"/>
        <w:spacing w:before="312" w:beforeLines="100" w:beforeAutospacing="0" w:after="312" w:afterLines="100" w:afterAutospacing="0"/>
        <w:rPr>
          <w:rFonts w:hint="default" w:ascii="Times New Roman" w:hAnsi="Times New Roman"/>
        </w:rPr>
      </w:pPr>
      <w:bookmarkStart w:id="3" w:name="_Toc100929810"/>
      <w:r>
        <w:rPr>
          <w:rFonts w:hint="default" w:ascii="Times New Roman" w:hAnsi="Times New Roman"/>
        </w:rPr>
        <w:t xml:space="preserve">3 </w:t>
      </w:r>
      <w:r>
        <w:rPr>
          <w:rFonts w:ascii="Times New Roman" w:hAnsi="Times New Roman"/>
        </w:rPr>
        <w:t>术语与定义</w:t>
      </w:r>
      <w:bookmarkEnd w:id="3"/>
    </w:p>
    <w:p>
      <w:pPr>
        <w:ind w:firstLine="420" w:firstLineChars="200"/>
        <w:rPr>
          <w:rFonts w:ascii="Times New Roman" w:hAnsi="Times New Roman" w:cs="Times New Roman"/>
        </w:rPr>
      </w:pPr>
      <w:r>
        <w:rPr>
          <w:rFonts w:ascii="Times New Roman" w:hAnsi="Times New Roman" w:eastAsia="宋体" w:cs="Times New Roman"/>
        </w:rPr>
        <w:t>GB/T 16886.5-2017</w:t>
      </w:r>
      <w:r>
        <w:rPr>
          <w:rFonts w:hint="eastAsia" w:ascii="Times New Roman"/>
        </w:rPr>
        <w:t>界定的术语与定义适用于本文件。</w:t>
      </w:r>
    </w:p>
    <w:p>
      <w:pPr>
        <w:pStyle w:val="2"/>
        <w:spacing w:before="312" w:beforeLines="100" w:beforeAutospacing="0" w:after="312" w:afterLines="100" w:afterAutospacing="0"/>
        <w:rPr>
          <w:rFonts w:hint="default" w:ascii="Times New Roman" w:hAnsi="Times New Roman"/>
        </w:rPr>
      </w:pPr>
      <w:bookmarkStart w:id="4" w:name="_Toc100929811"/>
      <w:r>
        <w:rPr>
          <w:rFonts w:ascii="Times New Roman" w:hAnsi="Times New Roman"/>
        </w:rPr>
        <w:t>4</w:t>
      </w:r>
      <w:r>
        <w:rPr>
          <w:rFonts w:hint="default" w:ascii="Times New Roman" w:hAnsi="Times New Roman"/>
        </w:rPr>
        <w:t xml:space="preserve"> 缩略语</w:t>
      </w:r>
      <w:bookmarkEnd w:id="4"/>
    </w:p>
    <w:p>
      <w:pPr>
        <w:pStyle w:val="5"/>
        <w:ind w:firstLine="420" w:firstLineChars="200"/>
      </w:pPr>
      <w:r>
        <w:rPr>
          <w:rFonts w:hint="eastAsia"/>
        </w:rPr>
        <w:t>下列缩略语适用于本文件。</w:t>
      </w:r>
    </w:p>
    <w:p>
      <w:pPr>
        <w:pStyle w:val="5"/>
      </w:pPr>
      <w:r>
        <w:rPr>
          <w:rFonts w:hint="eastAsia"/>
        </w:rPr>
        <w:t xml:space="preserve">  </w:t>
      </w:r>
      <w:r>
        <w:t xml:space="preserve">  </w:t>
      </w:r>
      <w:r>
        <w:rPr>
          <w:rFonts w:hint="eastAsia"/>
        </w:rPr>
        <w:t>MTT：3-(4,5-二 甲基噻唑-2)-2,5-二苯基四氮唑溴盐</w:t>
      </w:r>
    </w:p>
    <w:p>
      <w:pPr>
        <w:ind w:firstLine="840" w:firstLineChars="400"/>
      </w:pPr>
      <w:r>
        <w:rPr>
          <w:rFonts w:hint="eastAsia"/>
        </w:rPr>
        <w:t>（</w:t>
      </w:r>
      <w:r>
        <w:t>3-(4,5-Dimethylthiazol-2-yl)-2,5-diphenyltetrazolium bromide</w:t>
      </w:r>
      <w:r>
        <w:rPr>
          <w:rFonts w:hint="eastAsia"/>
        </w:rPr>
        <w:t>）</w:t>
      </w:r>
    </w:p>
    <w:p>
      <w:pPr>
        <w:ind w:firstLine="840" w:firstLineChars="400"/>
      </w:pPr>
      <w:r>
        <w:t xml:space="preserve"> </w:t>
      </w:r>
    </w:p>
    <w:p>
      <w:pPr>
        <w:pStyle w:val="2"/>
        <w:spacing w:before="312" w:beforeLines="100" w:beforeAutospacing="0" w:after="312" w:afterLines="100" w:afterAutospacing="0"/>
        <w:rPr>
          <w:rFonts w:hint="default" w:ascii="Times New Roman" w:hAnsi="Times New Roman"/>
        </w:rPr>
      </w:pPr>
      <w:bookmarkStart w:id="5" w:name="_Toc100929812"/>
      <w:r>
        <w:rPr>
          <w:rFonts w:hint="default" w:ascii="Times New Roman" w:hAnsi="Times New Roman"/>
        </w:rPr>
        <w:t>5材料</w:t>
      </w:r>
      <w:r>
        <w:rPr>
          <w:rFonts w:ascii="Times New Roman" w:hAnsi="Times New Roman"/>
        </w:rPr>
        <w:t>和对照品</w:t>
      </w:r>
      <w:r>
        <w:rPr>
          <w:rFonts w:hint="default" w:ascii="Times New Roman" w:hAnsi="Times New Roman"/>
        </w:rPr>
        <w:t>浸提液的制备</w:t>
      </w:r>
      <w:bookmarkEnd w:id="5"/>
    </w:p>
    <w:p>
      <w:pPr>
        <w:pStyle w:val="2"/>
        <w:spacing w:before="156" w:beforeLines="50" w:beforeAutospacing="0" w:after="156" w:afterLines="50" w:afterAutospacing="0"/>
        <w:rPr>
          <w:rFonts w:hint="default" w:ascii="Times New Roman" w:hAnsi="Times New Roman"/>
        </w:rPr>
      </w:pPr>
      <w:bookmarkStart w:id="6" w:name="_Toc100929813"/>
      <w:r>
        <w:rPr>
          <w:rFonts w:hint="default" w:ascii="Times New Roman" w:hAnsi="Times New Roman"/>
        </w:rPr>
        <w:t>5.1 总则</w:t>
      </w:r>
      <w:bookmarkEnd w:id="6"/>
    </w:p>
    <w:p>
      <w:pPr>
        <w:ind w:firstLine="420" w:firstLineChars="200"/>
        <w:rPr>
          <w:rFonts w:ascii="Times New Roman" w:hAnsi="Times New Roman" w:cs="Times New Roman"/>
        </w:rPr>
      </w:pPr>
      <w:r>
        <w:rPr>
          <w:rFonts w:hint="eastAsia" w:ascii="Times New Roman" w:hAnsi="Times New Roman" w:cs="Times New Roman"/>
        </w:rPr>
        <w:t>本试验是通过将供试品的浸提液与体外培养的细胞系接触一定时间，通过浸提液对细胞生长的影响来评价供试品的细胞毒性。</w:t>
      </w:r>
    </w:p>
    <w:p>
      <w:pPr>
        <w:ind w:firstLine="420" w:firstLineChars="200"/>
        <w:rPr>
          <w:rFonts w:ascii="Times New Roman" w:hAnsi="Times New Roman" w:cs="Times New Roman"/>
        </w:rPr>
      </w:pPr>
      <w:r>
        <w:rPr>
          <w:rFonts w:ascii="Times New Roman" w:hAnsi="Times New Roman" w:cs="Times New Roman"/>
        </w:rPr>
        <w:t>实验应选用：</w:t>
      </w:r>
    </w:p>
    <w:p>
      <w:pPr>
        <w:pStyle w:val="19"/>
        <w:numPr>
          <w:ilvl w:val="0"/>
          <w:numId w:val="1"/>
        </w:numPr>
        <w:ind w:firstLineChars="0"/>
        <w:rPr>
          <w:rFonts w:ascii="Times New Roman" w:hAnsi="Times New Roman" w:cs="Times New Roman"/>
        </w:rPr>
      </w:pPr>
      <w:r>
        <w:rPr>
          <w:rFonts w:ascii="Times New Roman" w:hAnsi="Times New Roman" w:cs="Times New Roman"/>
        </w:rPr>
        <w:t xml:space="preserve">试验样品浸提液； </w:t>
      </w:r>
    </w:p>
    <w:p>
      <w:pPr>
        <w:ind w:left="420"/>
        <w:rPr>
          <w:rFonts w:ascii="Times New Roman" w:hAnsi="Times New Roman" w:cs="Times New Roman"/>
        </w:rPr>
      </w:pPr>
      <w:r>
        <w:rPr>
          <w:rFonts w:hint="eastAsia" w:ascii="Times New Roman" w:hAnsi="Times New Roman" w:eastAsia="宋体" w:cs="Times New Roman"/>
        </w:rPr>
        <w:t>样品可为全降解镁合金药物洗脱支架或与最终产品以相同的工艺过程制得的材料。</w:t>
      </w:r>
    </w:p>
    <w:p>
      <w:pPr>
        <w:ind w:left="420"/>
        <w:rPr>
          <w:rFonts w:ascii="Times New Roman" w:hAnsi="Times New Roman" w:cs="Times New Roman"/>
        </w:rPr>
      </w:pPr>
      <w:r>
        <w:rPr>
          <w:rFonts w:ascii="Times New Roman" w:hAnsi="Times New Roman" w:cs="Times New Roman"/>
        </w:rPr>
        <w:t>每一试验应包括空白对照、阴性对照与阳性对照。</w:t>
      </w:r>
    </w:p>
    <w:p>
      <w:pPr>
        <w:pStyle w:val="2"/>
        <w:spacing w:before="156" w:beforeLines="50" w:beforeAutospacing="0" w:after="156" w:afterLines="50" w:afterAutospacing="0"/>
        <w:rPr>
          <w:rFonts w:hint="default" w:ascii="Times New Roman" w:hAnsi="Times New Roman"/>
        </w:rPr>
      </w:pPr>
      <w:bookmarkStart w:id="7" w:name="_Toc100929814"/>
      <w:r>
        <w:rPr>
          <w:rFonts w:hint="default" w:ascii="Times New Roman" w:hAnsi="Times New Roman"/>
        </w:rPr>
        <w:t>5</w:t>
      </w:r>
      <w:r>
        <w:rPr>
          <w:rFonts w:ascii="Times New Roman" w:hAnsi="Times New Roman"/>
        </w:rPr>
        <w:t>.2浸提原则</w:t>
      </w:r>
      <w:bookmarkEnd w:id="7"/>
    </w:p>
    <w:p>
      <w:pPr>
        <w:ind w:firstLine="420" w:firstLineChars="200"/>
        <w:rPr>
          <w:rFonts w:ascii="Times New Roman" w:hAnsi="Times New Roman" w:cs="Times New Roman"/>
        </w:rPr>
      </w:pPr>
      <w:r>
        <w:rPr>
          <w:rFonts w:ascii="Times New Roman" w:hAnsi="Times New Roman" w:cs="Times New Roman"/>
        </w:rPr>
        <w:t>为了测定潜在的毒理学危害，除非在临床应用过程中需要，浸提条件应模拟或严于临床使用条件，但不导致试验材料发生诸如熔化、溶解或化学结构改变等明显变化。</w:t>
      </w:r>
    </w:p>
    <w:p>
      <w:pPr>
        <w:ind w:firstLine="360" w:firstLineChars="200"/>
        <w:rPr>
          <w:rFonts w:ascii="Times New Roman" w:hAnsi="Times New Roman" w:cs="Times New Roman"/>
          <w:sz w:val="18"/>
          <w:szCs w:val="18"/>
        </w:rPr>
      </w:pPr>
      <w:r>
        <w:rPr>
          <w:rFonts w:hint="eastAsia" w:ascii="Times New Roman" w:hAnsi="Times New Roman" w:cs="Times New Roman"/>
          <w:sz w:val="18"/>
          <w:szCs w:val="18"/>
        </w:rPr>
        <w:t>注：浸提液中任何内源性或外源性物质的浓度及其接触试验细胞的量取决于表面面积、浸提体积、pH、化学溶解度、扩散率、渗透压、搅拌、温度、时间和其他因素。</w:t>
      </w:r>
    </w:p>
    <w:p>
      <w:pPr>
        <w:spacing w:before="156" w:beforeLines="50" w:after="156" w:afterLines="50"/>
        <w:rPr>
          <w:rFonts w:ascii="Times New Roman" w:hAnsi="Times New Roman" w:cs="Times New Roman"/>
          <w:b/>
        </w:rPr>
      </w:pPr>
      <w:r>
        <w:rPr>
          <w:rFonts w:ascii="Times New Roman" w:hAnsi="Times New Roman" w:cs="Times New Roman"/>
          <w:b/>
        </w:rPr>
        <w:t>5.3</w:t>
      </w:r>
      <w:r>
        <w:rPr>
          <w:rFonts w:ascii="黑体" w:hAnsi="黑体" w:eastAsia="黑体" w:cs="Times New Roman"/>
          <w:b/>
        </w:rPr>
        <w:t>浸提</w:t>
      </w:r>
      <w:r>
        <w:rPr>
          <w:rFonts w:hint="eastAsia" w:ascii="黑体" w:hAnsi="黑体" w:eastAsia="黑体" w:cs="Times New Roman"/>
          <w:b/>
        </w:rPr>
        <w:t>容器</w:t>
      </w:r>
    </w:p>
    <w:p>
      <w:pPr>
        <w:ind w:firstLine="420" w:firstLineChars="200"/>
        <w:rPr>
          <w:rFonts w:ascii="Times New Roman" w:hAnsi="Times New Roman" w:cs="Times New Roman"/>
        </w:rPr>
      </w:pPr>
      <w:r>
        <w:rPr>
          <w:rFonts w:hint="eastAsia" w:ascii="Times New Roman" w:hAnsi="Times New Roman" w:cs="Times New Roman"/>
        </w:rPr>
        <w:t>浸提应在洁净、化学惰性、封闭、死腔容积为最小的容器中进行，</w:t>
      </w:r>
      <w:r>
        <w:rPr>
          <w:rFonts w:ascii="Times New Roman" w:hAnsi="Times New Roman" w:cs="Times New Roman"/>
        </w:rPr>
        <w:t>应符合</w:t>
      </w:r>
      <w:r>
        <w:rPr>
          <w:rFonts w:hint="eastAsia" w:ascii="Times New Roman" w:hAnsi="Times New Roman" w:cs="Times New Roman"/>
        </w:rPr>
        <w:t>GB/T 16886.12</w:t>
      </w:r>
      <w:r>
        <w:rPr>
          <w:rFonts w:ascii="Times New Roman" w:hAnsi="Times New Roman" w:cs="Times New Roman"/>
        </w:rPr>
        <w:t>。</w:t>
      </w:r>
    </w:p>
    <w:p>
      <w:pPr>
        <w:spacing w:before="156" w:beforeLines="50" w:after="156" w:afterLines="50"/>
        <w:rPr>
          <w:rFonts w:ascii="Times New Roman" w:hAnsi="Times New Roman" w:cs="Times New Roman"/>
          <w:b/>
        </w:rPr>
      </w:pPr>
      <w:r>
        <w:rPr>
          <w:rFonts w:ascii="Times New Roman" w:hAnsi="Times New Roman" w:cs="Times New Roman"/>
          <w:b/>
        </w:rPr>
        <w:t>5</w:t>
      </w:r>
      <w:r>
        <w:rPr>
          <w:rFonts w:hint="eastAsia" w:ascii="Times New Roman" w:hAnsi="Times New Roman" w:cs="Times New Roman"/>
          <w:b/>
        </w:rPr>
        <w:t>.4</w:t>
      </w:r>
      <w:r>
        <w:rPr>
          <w:rFonts w:ascii="Times New Roman" w:hAnsi="Times New Roman" w:cs="Times New Roman"/>
          <w:b/>
        </w:rPr>
        <w:t>浸提条件</w:t>
      </w:r>
    </w:p>
    <w:p>
      <w:pPr>
        <w:rPr>
          <w:rFonts w:ascii="Times New Roman" w:hAnsi="Times New Roman" w:cs="Times New Roman"/>
          <w:highlight w:val="yellow"/>
        </w:rPr>
      </w:pPr>
      <w:r>
        <w:rPr>
          <w:rFonts w:ascii="Times New Roman" w:hAnsi="Times New Roman" w:cs="Times New Roman"/>
        </w:rPr>
        <w:t>5</w:t>
      </w:r>
      <w:r>
        <w:rPr>
          <w:rFonts w:hint="eastAsia" w:ascii="Times New Roman" w:hAnsi="Times New Roman" w:cs="Times New Roman"/>
        </w:rPr>
        <w:t>.4.1推荐</w:t>
      </w:r>
      <w:r>
        <w:rPr>
          <w:rFonts w:ascii="Times New Roman" w:hAnsi="Times New Roman" w:cs="Times New Roman"/>
        </w:rPr>
        <w:t>浸提</w:t>
      </w:r>
      <w:r>
        <w:rPr>
          <w:rFonts w:hint="eastAsia" w:ascii="Times New Roman" w:hAnsi="Times New Roman" w:cs="Times New Roman"/>
        </w:rPr>
        <w:t>在</w:t>
      </w:r>
      <w:r>
        <w:rPr>
          <w:rFonts w:ascii="Times New Roman" w:hAnsi="Times New Roman" w:cs="Times New Roman"/>
        </w:rPr>
        <w:t>（37</w:t>
      </w:r>
      <w:r>
        <w:rPr>
          <w:rFonts w:hint="eastAsia" w:ascii="Times New Roman" w:hAnsi="Times New Roman" w:cs="Times New Roman"/>
        </w:rPr>
        <w:t>±1</w:t>
      </w:r>
      <w:r>
        <w:rPr>
          <w:rFonts w:ascii="Times New Roman" w:hAnsi="Times New Roman" w:cs="Times New Roman"/>
        </w:rPr>
        <w:t>）</w:t>
      </w:r>
      <w:r>
        <w:rPr>
          <w:rFonts w:hint="eastAsia" w:ascii="Times New Roman" w:hAnsi="Times New Roman" w:cs="Times New Roman"/>
        </w:rPr>
        <w:t>℃，（24±2）h的条件下进行。</w:t>
      </w:r>
    </w:p>
    <w:p>
      <w:pPr>
        <w:rPr>
          <w:rFonts w:ascii="Times New Roman" w:hAnsi="Times New Roman" w:cs="Times New Roman"/>
        </w:rPr>
      </w:pPr>
      <w:r>
        <w:rPr>
          <w:rFonts w:ascii="Times New Roman" w:hAnsi="Times New Roman" w:cs="Times New Roman"/>
        </w:rPr>
        <w:t>5</w:t>
      </w:r>
      <w:r>
        <w:rPr>
          <w:rFonts w:hint="eastAsia" w:ascii="Times New Roman" w:hAnsi="Times New Roman" w:cs="Times New Roman"/>
        </w:rPr>
        <w:t>.4.2浸提</w:t>
      </w:r>
      <w:r>
        <w:rPr>
          <w:rFonts w:ascii="Times New Roman" w:hAnsi="Times New Roman" w:cs="Times New Roman"/>
        </w:rPr>
        <w:t>应</w:t>
      </w:r>
      <w:r>
        <w:rPr>
          <w:rFonts w:hint="eastAsia" w:ascii="Times New Roman" w:hAnsi="Times New Roman" w:cs="Times New Roman"/>
        </w:rPr>
        <w:t>优先使用含有血清的细胞培养基作为浸提介质，因为含血清培养基可以支持细胞生长而且具有极性和非极性的介质特性。</w:t>
      </w:r>
    </w:p>
    <w:p>
      <w:pPr>
        <w:rPr>
          <w:rFonts w:ascii="Times New Roman" w:hAnsi="Times New Roman" w:cs="Times New Roman"/>
        </w:rPr>
      </w:pPr>
      <w:r>
        <w:rPr>
          <w:rFonts w:ascii="Times New Roman" w:hAnsi="Times New Roman" w:cs="Times New Roman"/>
        </w:rPr>
        <w:t>5</w:t>
      </w:r>
      <w:r>
        <w:rPr>
          <w:rFonts w:hint="eastAsia" w:ascii="Times New Roman" w:hAnsi="Times New Roman" w:cs="Times New Roman"/>
        </w:rPr>
        <w:t>.4.3 浸提应在搅动或循环的条件下进行。</w:t>
      </w:r>
    </w:p>
    <w:p>
      <w:pPr>
        <w:rPr>
          <w:rFonts w:ascii="Times New Roman" w:hAnsi="Times New Roman" w:cs="Times New Roman"/>
        </w:rPr>
      </w:pPr>
      <w:r>
        <w:rPr>
          <w:rFonts w:ascii="Times New Roman" w:hAnsi="Times New Roman" w:cs="Times New Roman"/>
        </w:rPr>
        <w:t>5</w:t>
      </w:r>
      <w:r>
        <w:rPr>
          <w:rFonts w:hint="eastAsia" w:ascii="Times New Roman" w:hAnsi="Times New Roman" w:cs="Times New Roman"/>
        </w:rPr>
        <w:t>.4.4推荐液体浸提液应在制备后立即使用，以防止吸附在浸提容器上或成分发生其他变化。浸提液如存放超过24 h，则应验证贮存条件下浸提液的稳定性和均一性。</w:t>
      </w:r>
    </w:p>
    <w:p>
      <w:pPr>
        <w:rPr>
          <w:rFonts w:ascii="Times New Roman" w:hAnsi="Times New Roman" w:cs="Times New Roman"/>
        </w:rPr>
      </w:pPr>
      <w:r>
        <w:rPr>
          <w:rFonts w:ascii="Times New Roman" w:hAnsi="Times New Roman" w:cs="Times New Roman"/>
        </w:rPr>
        <w:t>5</w:t>
      </w:r>
      <w:r>
        <w:rPr>
          <w:rFonts w:hint="eastAsia" w:ascii="Times New Roman" w:hAnsi="Times New Roman" w:cs="Times New Roman"/>
        </w:rPr>
        <w:t>.4.5 不应调整浸提液的pH，除非给出理由。</w:t>
      </w:r>
    </w:p>
    <w:p>
      <w:pPr>
        <w:rPr>
          <w:rFonts w:ascii="Times New Roman" w:hAnsi="Times New Roman" w:cs="Times New Roman"/>
        </w:rPr>
      </w:pPr>
      <w:r>
        <w:rPr>
          <w:rFonts w:ascii="Times New Roman" w:hAnsi="Times New Roman" w:cs="Times New Roman"/>
        </w:rPr>
        <w:t>5</w:t>
      </w:r>
      <w:r>
        <w:rPr>
          <w:rFonts w:hint="eastAsia" w:ascii="Times New Roman" w:hAnsi="Times New Roman" w:cs="Times New Roman"/>
        </w:rPr>
        <w:t>.4.6 浸提液通常不应使用过滤、离心或其他方法来去除悬浮的粒子，如有必要进行时，应给出说明并形成文件。</w:t>
      </w:r>
    </w:p>
    <w:p>
      <w:pPr>
        <w:spacing w:before="156" w:beforeLines="50" w:after="156" w:afterLines="50"/>
        <w:rPr>
          <w:rFonts w:ascii="Times New Roman" w:hAnsi="Times New Roman" w:cs="Times New Roman"/>
          <w:b/>
        </w:rPr>
      </w:pPr>
      <w:r>
        <w:rPr>
          <w:rFonts w:ascii="Times New Roman" w:hAnsi="Times New Roman" w:cs="Times New Roman"/>
          <w:b/>
        </w:rPr>
        <w:t>5</w:t>
      </w:r>
      <w:r>
        <w:rPr>
          <w:rFonts w:hint="eastAsia" w:ascii="Times New Roman" w:hAnsi="Times New Roman" w:cs="Times New Roman"/>
          <w:b/>
        </w:rPr>
        <w:t>.5对照品制备</w:t>
      </w:r>
    </w:p>
    <w:p>
      <w:pPr>
        <w:ind w:firstLine="420" w:firstLineChars="200"/>
        <w:rPr>
          <w:rFonts w:cs="Times New Roman" w:asciiTheme="majorEastAsia" w:hAnsiTheme="majorEastAsia" w:eastAsiaTheme="majorEastAsia"/>
        </w:rPr>
      </w:pPr>
      <w:r>
        <w:rPr>
          <w:rFonts w:hint="eastAsia" w:cs="Times New Roman" w:asciiTheme="majorEastAsia" w:hAnsiTheme="majorEastAsia" w:eastAsiaTheme="majorEastAsia"/>
        </w:rPr>
        <w:t>宜选择对照品，可采用与试验样品相同的步骤制备。</w:t>
      </w:r>
    </w:p>
    <w:p>
      <w:pPr>
        <w:spacing w:before="156" w:beforeLines="50" w:after="156" w:afterLines="50"/>
        <w:rPr>
          <w:rFonts w:ascii="Times New Roman" w:hAnsi="Times New Roman" w:cs="Times New Roman"/>
          <w:b/>
        </w:rPr>
      </w:pPr>
      <w:r>
        <w:rPr>
          <w:rFonts w:ascii="Times New Roman" w:hAnsi="Times New Roman" w:cs="Times New Roman"/>
          <w:b/>
        </w:rPr>
        <w:t>5</w:t>
      </w:r>
      <w:r>
        <w:rPr>
          <w:rFonts w:hint="eastAsia" w:ascii="Times New Roman" w:hAnsi="Times New Roman" w:cs="Times New Roman"/>
          <w:b/>
        </w:rPr>
        <w:t>.6 供试品建议</w:t>
      </w:r>
    </w:p>
    <w:p>
      <w:pPr>
        <w:ind w:firstLine="420" w:firstLineChars="200"/>
        <w:rPr>
          <w:rFonts w:ascii="Times New Roman" w:hAnsi="Times New Roman" w:cs="Times New Roman"/>
        </w:rPr>
      </w:pPr>
      <w:r>
        <w:rPr>
          <w:rFonts w:hint="eastAsia" w:ascii="Times New Roman" w:hAnsi="Times New Roman" w:cs="Times New Roman"/>
        </w:rPr>
        <w:t>除了</w:t>
      </w:r>
      <w:r>
        <w:rPr>
          <w:rFonts w:hint="eastAsia" w:ascii="Times New Roman" w:hAnsi="Times New Roman" w:eastAsia="宋体" w:cs="Times New Roman"/>
        </w:rPr>
        <w:t>全降解镁合金药物洗脱支架或与最终产品以相同的工艺过程制得的材料成品外皮，</w:t>
      </w:r>
      <w:r>
        <w:rPr>
          <w:rFonts w:hint="eastAsia" w:ascii="Times New Roman" w:hAnsi="Times New Roman" w:cs="Times New Roman"/>
        </w:rPr>
        <w:t>还推荐对不含药物涂层支架半成品进行细胞毒性检测，以评价可降解金属基质对细胞的影响。</w:t>
      </w:r>
    </w:p>
    <w:p>
      <w:pPr>
        <w:pStyle w:val="2"/>
        <w:spacing w:before="312" w:beforeLines="100" w:beforeAutospacing="0" w:after="312" w:afterLines="100" w:afterAutospacing="0"/>
        <w:rPr>
          <w:rFonts w:hint="default" w:asciiTheme="majorEastAsia" w:hAnsiTheme="majorEastAsia" w:eastAsiaTheme="majorEastAsia"/>
          <w:b w:val="0"/>
        </w:rPr>
      </w:pPr>
      <w:bookmarkStart w:id="8" w:name="_Toc100929815"/>
      <w:r>
        <w:rPr>
          <w:rFonts w:hint="default" w:ascii="Times New Roman" w:hAnsi="Times New Roman"/>
        </w:rPr>
        <w:t xml:space="preserve">6 </w:t>
      </w:r>
      <w:r>
        <w:rPr>
          <w:rFonts w:ascii="Times New Roman" w:hAnsi="Times New Roman"/>
        </w:rPr>
        <w:t>细胞制备</w:t>
      </w:r>
      <w:bookmarkEnd w:id="8"/>
    </w:p>
    <w:p>
      <w:pPr>
        <w:ind w:firstLine="315" w:firstLineChars="150"/>
      </w:pPr>
      <w:r>
        <w:rPr>
          <w:rFonts w:hint="eastAsia"/>
        </w:rPr>
        <w:t>推荐采用L929细胞（小鼠成纤维细胞），细胞培养物应无支原体。使用存储的培养细胞时，如加有低温防护剂要除去，使用前至少传代2次至</w:t>
      </w:r>
      <w:r>
        <w:t>3次</w:t>
      </w:r>
      <w:r>
        <w:rPr>
          <w:rFonts w:hint="eastAsia"/>
        </w:rPr>
        <w:t>。</w:t>
      </w:r>
    </w:p>
    <w:p>
      <w:pPr>
        <w:pStyle w:val="2"/>
        <w:spacing w:before="312" w:beforeLines="100" w:beforeAutospacing="0" w:after="312" w:afterLines="100" w:afterAutospacing="0"/>
        <w:rPr>
          <w:rFonts w:hint="default" w:ascii="Times New Roman" w:hAnsi="Times New Roman"/>
        </w:rPr>
      </w:pPr>
      <w:bookmarkStart w:id="9" w:name="_Toc100929816"/>
      <w:r>
        <w:rPr>
          <w:rFonts w:hint="default" w:ascii="Times New Roman" w:hAnsi="Times New Roman"/>
        </w:rPr>
        <w:t>7 试验步骤</w:t>
      </w:r>
      <w:bookmarkEnd w:id="9"/>
    </w:p>
    <w:p>
      <w:pPr>
        <w:pStyle w:val="2"/>
        <w:spacing w:before="100" w:after="100"/>
        <w:ind w:firstLine="420" w:firstLineChars="200"/>
        <w:rPr>
          <w:rFonts w:hint="default" w:ascii="Times New Roman" w:hAnsi="Times New Roman" w:eastAsia="宋体"/>
          <w:b w:val="0"/>
          <w:bCs w:val="0"/>
          <w:color w:val="auto"/>
          <w:szCs w:val="21"/>
        </w:rPr>
      </w:pPr>
      <w:bookmarkStart w:id="10" w:name="_Toc100929817"/>
      <w:r>
        <w:rPr>
          <w:rFonts w:ascii="Times New Roman" w:hAnsi="Times New Roman" w:eastAsia="宋体"/>
          <w:b w:val="0"/>
          <w:bCs w:val="0"/>
          <w:color w:val="auto"/>
          <w:szCs w:val="21"/>
        </w:rPr>
        <w:t>GB/T16886.5-2017</w:t>
      </w:r>
      <w:r>
        <w:rPr>
          <w:rFonts w:hint="default" w:ascii="Times New Roman" w:hAnsi="Times New Roman" w:eastAsia="宋体"/>
          <w:b w:val="0"/>
          <w:bCs w:val="0"/>
          <w:color w:val="auto"/>
          <w:szCs w:val="21"/>
        </w:rPr>
        <w:t>表C.1给出了试验操作流程。</w:t>
      </w:r>
      <w:bookmarkEnd w:id="10"/>
    </w:p>
    <w:p>
      <w:pPr>
        <w:pStyle w:val="2"/>
        <w:spacing w:before="156" w:beforeLines="50" w:beforeAutospacing="0" w:after="156" w:afterLines="50" w:afterAutospacing="0"/>
        <w:ind w:left="422" w:hanging="422" w:hangingChars="200"/>
        <w:rPr>
          <w:rFonts w:hint="default" w:ascii="Times New Roman" w:hAnsi="Times New Roman" w:eastAsia="宋体"/>
          <w:bCs w:val="0"/>
          <w:color w:val="auto"/>
          <w:szCs w:val="21"/>
        </w:rPr>
      </w:pPr>
      <w:bookmarkStart w:id="11" w:name="_Toc100929818"/>
      <w:r>
        <w:rPr>
          <w:rFonts w:hint="default" w:ascii="Times New Roman" w:hAnsi="Times New Roman" w:eastAsia="宋体"/>
          <w:bCs w:val="0"/>
          <w:color w:val="auto"/>
          <w:szCs w:val="21"/>
        </w:rPr>
        <w:t>7</w:t>
      </w:r>
      <w:r>
        <w:rPr>
          <w:rFonts w:ascii="Times New Roman" w:hAnsi="Times New Roman" w:eastAsia="宋体"/>
          <w:bCs w:val="0"/>
          <w:color w:val="auto"/>
          <w:szCs w:val="21"/>
        </w:rPr>
        <w:t>.1</w:t>
      </w:r>
      <w:r>
        <w:rPr>
          <w:rFonts w:hint="default" w:ascii="黑体" w:hAnsi="黑体"/>
          <w:bCs w:val="0"/>
          <w:color w:val="auto"/>
          <w:szCs w:val="21"/>
        </w:rPr>
        <w:t>细胞传代生长后第1天</w:t>
      </w:r>
      <w:bookmarkEnd w:id="11"/>
    </w:p>
    <w:p>
      <w:pPr>
        <w:pStyle w:val="2"/>
        <w:spacing w:before="100" w:after="100"/>
        <w:rPr>
          <w:rFonts w:hint="default" w:ascii="Times New Roman" w:hAnsi="Times New Roman" w:eastAsia="宋体"/>
          <w:b w:val="0"/>
          <w:bCs w:val="0"/>
          <w:color w:val="auto"/>
          <w:szCs w:val="21"/>
        </w:rPr>
      </w:pPr>
      <w:bookmarkStart w:id="12" w:name="_Toc100929819"/>
      <w:r>
        <w:rPr>
          <w:rFonts w:hint="default" w:ascii="Times New Roman" w:hAnsi="Times New Roman" w:eastAsia="宋体"/>
          <w:b w:val="0"/>
          <w:bCs w:val="0"/>
          <w:color w:val="auto"/>
          <w:szCs w:val="21"/>
        </w:rPr>
        <w:t>7</w:t>
      </w:r>
      <w:r>
        <w:rPr>
          <w:rFonts w:ascii="Times New Roman" w:hAnsi="Times New Roman" w:eastAsia="宋体"/>
          <w:b w:val="0"/>
          <w:bCs w:val="0"/>
          <w:color w:val="auto"/>
          <w:szCs w:val="21"/>
        </w:rPr>
        <w:t>.1.1</w:t>
      </w:r>
      <w:r>
        <w:rPr>
          <w:rFonts w:hint="default" w:ascii="Times New Roman" w:hAnsi="Times New Roman" w:eastAsia="宋体"/>
          <w:b w:val="0"/>
          <w:bCs w:val="0"/>
          <w:color w:val="auto"/>
          <w:szCs w:val="21"/>
        </w:rPr>
        <w:t>采用酶促消化(胰蛋白酶/EDTA)将培养细胞从培养瓶中移出</w:t>
      </w:r>
      <w:r>
        <w:rPr>
          <w:rFonts w:ascii="Times New Roman" w:hAnsi="Times New Roman" w:eastAsia="宋体"/>
          <w:b w:val="0"/>
          <w:bCs w:val="0"/>
          <w:color w:val="auto"/>
          <w:szCs w:val="21"/>
        </w:rPr>
        <w:t>，</w:t>
      </w:r>
      <w:r>
        <w:rPr>
          <w:rFonts w:hint="default" w:ascii="Times New Roman" w:hAnsi="Times New Roman" w:eastAsia="宋体"/>
          <w:b w:val="0"/>
          <w:bCs w:val="0"/>
          <w:color w:val="auto"/>
          <w:szCs w:val="21"/>
        </w:rPr>
        <w:t>细胞悬液在200g离</w:t>
      </w:r>
      <w:r>
        <w:rPr>
          <w:rFonts w:ascii="Times New Roman" w:hAnsi="Times New Roman" w:eastAsia="宋体"/>
          <w:b w:val="0"/>
          <w:bCs w:val="0"/>
          <w:color w:val="auto"/>
          <w:szCs w:val="21"/>
        </w:rPr>
        <w:t>心</w:t>
      </w:r>
      <w:r>
        <w:rPr>
          <w:rFonts w:hint="default" w:ascii="Times New Roman" w:hAnsi="Times New Roman" w:eastAsia="宋体"/>
          <w:b w:val="0"/>
          <w:bCs w:val="0"/>
          <w:color w:val="auto"/>
          <w:szCs w:val="21"/>
        </w:rPr>
        <w:t>3min。用培养基重悬细胞悬液</w:t>
      </w:r>
      <w:r>
        <w:rPr>
          <w:rFonts w:ascii="Times New Roman" w:hAnsi="Times New Roman" w:eastAsia="宋体"/>
          <w:b w:val="0"/>
          <w:bCs w:val="0"/>
          <w:color w:val="auto"/>
          <w:szCs w:val="21"/>
        </w:rPr>
        <w:t>，</w:t>
      </w:r>
      <w:r>
        <w:rPr>
          <w:rFonts w:hint="default" w:ascii="Times New Roman" w:hAnsi="Times New Roman" w:eastAsia="宋体"/>
          <w:b w:val="0"/>
          <w:bCs w:val="0"/>
          <w:color w:val="auto"/>
          <w:szCs w:val="21"/>
        </w:rPr>
        <w:t>调整密度为1</w:t>
      </w:r>
      <w:r>
        <w:rPr>
          <w:rFonts w:ascii="Times New Roman" w:hAnsi="Times New Roman" w:eastAsia="宋体"/>
          <w:b w:val="0"/>
          <w:bCs w:val="0"/>
          <w:color w:val="auto"/>
          <w:szCs w:val="21"/>
        </w:rPr>
        <w:t>×</w:t>
      </w:r>
      <w:r>
        <w:rPr>
          <w:rFonts w:hint="default" w:ascii="Times New Roman" w:hAnsi="Times New Roman" w:eastAsia="宋体"/>
          <w:b w:val="0"/>
          <w:bCs w:val="0"/>
          <w:color w:val="auto"/>
          <w:szCs w:val="21"/>
        </w:rPr>
        <w:t>10</w:t>
      </w:r>
      <w:r>
        <w:rPr>
          <w:rFonts w:hint="default" w:ascii="Times New Roman" w:hAnsi="Times New Roman" w:eastAsia="宋体"/>
          <w:b w:val="0"/>
          <w:bCs w:val="0"/>
          <w:color w:val="auto"/>
          <w:szCs w:val="21"/>
          <w:vertAlign w:val="superscript"/>
        </w:rPr>
        <w:t>5</w:t>
      </w:r>
      <w:r>
        <w:rPr>
          <w:rFonts w:hint="default" w:ascii="Times New Roman" w:hAnsi="Times New Roman" w:eastAsia="宋体"/>
          <w:b w:val="0"/>
          <w:bCs w:val="0"/>
          <w:color w:val="auto"/>
          <w:szCs w:val="21"/>
        </w:rPr>
        <w:t>个细胞/mL。采用多通道移液器将100 μL培养基加到96孔组织培养微量滴定板的外围孔中(=空白)</w:t>
      </w:r>
      <w:r>
        <w:rPr>
          <w:rFonts w:ascii="Times New Roman" w:hAnsi="Times New Roman" w:eastAsia="宋体"/>
          <w:b w:val="0"/>
          <w:bCs w:val="0"/>
          <w:color w:val="auto"/>
          <w:szCs w:val="21"/>
        </w:rPr>
        <w:t>，</w:t>
      </w:r>
      <w:r>
        <w:rPr>
          <w:rFonts w:hint="default" w:ascii="Times New Roman" w:hAnsi="Times New Roman" w:eastAsia="宋体"/>
          <w:b w:val="0"/>
          <w:bCs w:val="0"/>
          <w:color w:val="auto"/>
          <w:szCs w:val="21"/>
        </w:rPr>
        <w:t>在其余孔中加</w:t>
      </w:r>
      <w:r>
        <w:rPr>
          <w:rFonts w:ascii="Times New Roman" w:hAnsi="Times New Roman" w:eastAsia="宋体"/>
          <w:b w:val="0"/>
          <w:bCs w:val="0"/>
          <w:color w:val="auto"/>
          <w:szCs w:val="21"/>
        </w:rPr>
        <w:t>入</w:t>
      </w:r>
      <w:r>
        <w:rPr>
          <w:rFonts w:hint="default" w:asciiTheme="minorEastAsia" w:hAnsiTheme="minorEastAsia" w:eastAsiaTheme="minorEastAsia"/>
          <w:b w:val="0"/>
          <w:bCs w:val="0"/>
          <w:color w:val="auto"/>
          <w:szCs w:val="21"/>
        </w:rPr>
        <w:t>100</w:t>
      </w:r>
      <w:r>
        <w:rPr>
          <w:rFonts w:hint="default" w:ascii="Times New Roman" w:hAnsi="Times New Roman" w:cs="Times New Roman" w:eastAsiaTheme="minorEastAsia"/>
          <w:b w:val="0"/>
          <w:bCs w:val="0"/>
          <w:color w:val="auto"/>
          <w:szCs w:val="21"/>
        </w:rPr>
        <w:t>μL</w:t>
      </w:r>
      <w:r>
        <w:rPr>
          <w:rFonts w:hint="default" w:ascii="Times New Roman" w:hAnsi="Times New Roman" w:eastAsia="宋体"/>
          <w:b w:val="0"/>
          <w:bCs w:val="0"/>
          <w:color w:val="auto"/>
          <w:szCs w:val="21"/>
        </w:rPr>
        <w:t>密度为1</w:t>
      </w:r>
      <w:r>
        <w:rPr>
          <w:rFonts w:ascii="Times New Roman" w:hAnsi="Times New Roman" w:eastAsia="宋体"/>
          <w:b w:val="0"/>
          <w:bCs w:val="0"/>
          <w:color w:val="auto"/>
          <w:szCs w:val="21"/>
        </w:rPr>
        <w:t>×</w:t>
      </w:r>
      <w:r>
        <w:rPr>
          <w:rFonts w:hint="default" w:ascii="Times New Roman" w:hAnsi="Times New Roman" w:eastAsia="宋体"/>
          <w:b w:val="0"/>
          <w:bCs w:val="0"/>
          <w:color w:val="auto"/>
          <w:szCs w:val="21"/>
        </w:rPr>
        <w:t>10</w:t>
      </w:r>
      <w:r>
        <w:rPr>
          <w:rFonts w:ascii="Times New Roman" w:hAnsi="Times New Roman" w:eastAsia="宋体"/>
          <w:b w:val="0"/>
          <w:bCs w:val="0"/>
          <w:color w:val="auto"/>
          <w:szCs w:val="21"/>
          <w:vertAlign w:val="superscript"/>
        </w:rPr>
        <w:t>5</w:t>
      </w:r>
      <w:r>
        <w:rPr>
          <w:rFonts w:hint="default" w:ascii="Times New Roman" w:hAnsi="Times New Roman" w:eastAsia="宋体"/>
          <w:b w:val="0"/>
          <w:bCs w:val="0"/>
          <w:color w:val="auto"/>
          <w:szCs w:val="21"/>
        </w:rPr>
        <w:t>个细胞/</w:t>
      </w:r>
      <w:r>
        <w:rPr>
          <w:rFonts w:hint="default" w:asciiTheme="minorEastAsia" w:hAnsiTheme="minorEastAsia" w:eastAsiaTheme="minorEastAsia"/>
          <w:b w:val="0"/>
          <w:bCs w:val="0"/>
          <w:color w:val="auto"/>
          <w:szCs w:val="21"/>
        </w:rPr>
        <w:t>mL</w:t>
      </w:r>
      <w:r>
        <w:rPr>
          <w:rFonts w:hint="default" w:ascii="Times New Roman" w:hAnsi="Times New Roman" w:eastAsia="宋体"/>
          <w:b w:val="0"/>
          <w:bCs w:val="0"/>
          <w:color w:val="auto"/>
          <w:szCs w:val="21"/>
        </w:rPr>
        <w:t>的细胞悬液(=1</w:t>
      </w:r>
      <w:r>
        <w:rPr>
          <w:rFonts w:ascii="Times New Roman" w:hAnsi="Times New Roman" w:eastAsia="宋体"/>
          <w:b w:val="0"/>
          <w:bCs w:val="0"/>
          <w:color w:val="auto"/>
          <w:szCs w:val="21"/>
        </w:rPr>
        <w:t>×</w:t>
      </w:r>
      <w:r>
        <w:rPr>
          <w:rFonts w:hint="default" w:ascii="Times New Roman" w:hAnsi="Times New Roman" w:eastAsia="宋体"/>
          <w:b w:val="0"/>
          <w:bCs w:val="0"/>
          <w:color w:val="auto"/>
          <w:szCs w:val="21"/>
        </w:rPr>
        <w:t>10</w:t>
      </w:r>
      <w:r>
        <w:rPr>
          <w:rFonts w:ascii="Times New Roman" w:hAnsi="Times New Roman" w:eastAsia="宋体"/>
          <w:b w:val="0"/>
          <w:bCs w:val="0"/>
          <w:color w:val="auto"/>
          <w:szCs w:val="21"/>
          <w:vertAlign w:val="superscript"/>
        </w:rPr>
        <w:t>4</w:t>
      </w:r>
      <w:r>
        <w:rPr>
          <w:rFonts w:hint="default" w:ascii="Times New Roman" w:hAnsi="Times New Roman" w:eastAsia="宋体"/>
          <w:b w:val="0"/>
          <w:bCs w:val="0"/>
          <w:color w:val="auto"/>
          <w:szCs w:val="21"/>
        </w:rPr>
        <w:t>个细胞/孔)</w:t>
      </w:r>
      <w:r>
        <w:rPr>
          <w:rFonts w:eastAsia="宋体" w:cs="宋体"/>
          <w:b w:val="0"/>
          <w:bCs w:val="0"/>
          <w:color w:val="auto"/>
          <w:szCs w:val="21"/>
        </w:rPr>
        <w:t>。</w:t>
      </w:r>
      <w:r>
        <w:rPr>
          <w:rFonts w:eastAsia="宋体" w:cs="宋体"/>
          <w:b w:val="0"/>
          <w:bCs w:val="0"/>
          <w:color w:val="auto"/>
          <w:szCs w:val="21"/>
        </w:rPr>
        <w:br w:type="textWrapping"/>
      </w:r>
      <w:r>
        <w:rPr>
          <w:rFonts w:hint="default" w:ascii="Times New Roman" w:hAnsi="Times New Roman" w:eastAsia="宋体"/>
          <w:b w:val="0"/>
          <w:bCs w:val="0"/>
          <w:color w:val="auto"/>
          <w:szCs w:val="21"/>
        </w:rPr>
        <w:t>7</w:t>
      </w:r>
      <w:r>
        <w:rPr>
          <w:rFonts w:ascii="Times New Roman" w:hAnsi="Times New Roman" w:eastAsia="宋体"/>
          <w:b w:val="0"/>
          <w:bCs w:val="0"/>
          <w:color w:val="auto"/>
          <w:szCs w:val="21"/>
        </w:rPr>
        <w:t>.1.2</w:t>
      </w:r>
      <w:r>
        <w:rPr>
          <w:rFonts w:hint="default" w:asciiTheme="minorEastAsia" w:hAnsiTheme="minorEastAsia" w:eastAsiaTheme="minorEastAsia"/>
          <w:b w:val="0"/>
          <w:bCs w:val="0"/>
          <w:color w:val="auto"/>
          <w:szCs w:val="21"/>
        </w:rPr>
        <w:t>细胞孵育24h(5%CO</w:t>
      </w:r>
      <w:r>
        <w:rPr>
          <w:rFonts w:hint="default" w:asciiTheme="minorEastAsia" w:hAnsiTheme="minorEastAsia" w:eastAsiaTheme="minorEastAsia"/>
          <w:b w:val="0"/>
          <w:bCs w:val="0"/>
          <w:color w:val="auto"/>
          <w:szCs w:val="21"/>
          <w:vertAlign w:val="subscript"/>
        </w:rPr>
        <w:t>2</w:t>
      </w:r>
      <w:r>
        <w:rPr>
          <w:rFonts w:asciiTheme="minorEastAsia" w:hAnsiTheme="minorEastAsia" w:eastAsiaTheme="minorEastAsia"/>
          <w:b w:val="0"/>
          <w:bCs w:val="0"/>
          <w:color w:val="auto"/>
          <w:szCs w:val="21"/>
        </w:rPr>
        <w:t>，</w:t>
      </w:r>
      <w:r>
        <w:rPr>
          <w:rFonts w:hint="default" w:asciiTheme="minorEastAsia" w:hAnsiTheme="minorEastAsia" w:eastAsiaTheme="minorEastAsia"/>
          <w:b w:val="0"/>
          <w:bCs w:val="0"/>
          <w:color w:val="auto"/>
          <w:szCs w:val="21"/>
        </w:rPr>
        <w:t>37</w:t>
      </w:r>
      <w:r>
        <w:rPr>
          <w:rFonts w:asciiTheme="minorEastAsia" w:hAnsiTheme="minorEastAsia" w:eastAsiaTheme="minorEastAsia"/>
          <w:b w:val="0"/>
          <w:bCs w:val="0"/>
          <w:color w:val="auto"/>
          <w:szCs w:val="21"/>
        </w:rPr>
        <w:t>℃，</w:t>
      </w:r>
      <w:r>
        <w:rPr>
          <w:rFonts w:hint="default" w:asciiTheme="minorEastAsia" w:hAnsiTheme="minorEastAsia" w:eastAsiaTheme="minorEastAsia"/>
          <w:b w:val="0"/>
          <w:bCs w:val="0"/>
          <w:color w:val="auto"/>
          <w:szCs w:val="21"/>
        </w:rPr>
        <w:t>&gt;90%湿度)以形成半汇合单层。在此孵育期间确保细胞恢复、贴附至指数增长。</w:t>
      </w:r>
      <w:r>
        <w:rPr>
          <w:rFonts w:hint="default" w:ascii="Times New Roman" w:hAnsi="Times New Roman" w:eastAsia="宋体"/>
          <w:b w:val="0"/>
          <w:bCs w:val="0"/>
          <w:color w:val="auto"/>
          <w:szCs w:val="21"/>
        </w:rPr>
        <w:br w:type="textWrapping"/>
      </w:r>
      <w:r>
        <w:rPr>
          <w:rFonts w:hint="default" w:ascii="Times New Roman" w:hAnsi="Times New Roman" w:eastAsia="宋体"/>
          <w:b w:val="0"/>
          <w:bCs w:val="0"/>
          <w:color w:val="auto"/>
          <w:szCs w:val="21"/>
        </w:rPr>
        <w:t>7</w:t>
      </w:r>
      <w:r>
        <w:rPr>
          <w:rFonts w:ascii="Times New Roman" w:hAnsi="Times New Roman" w:eastAsia="宋体"/>
          <w:b w:val="0"/>
          <w:bCs w:val="0"/>
          <w:color w:val="auto"/>
          <w:szCs w:val="21"/>
        </w:rPr>
        <w:t>.1.3</w:t>
      </w:r>
      <w:r>
        <w:rPr>
          <w:rFonts w:hint="default" w:ascii="Times New Roman" w:hAnsi="Times New Roman" w:eastAsia="宋体"/>
          <w:b w:val="0"/>
          <w:bCs w:val="0"/>
          <w:color w:val="auto"/>
          <w:szCs w:val="21"/>
        </w:rPr>
        <w:t>在相差显微镜下检查每个板</w:t>
      </w:r>
      <w:r>
        <w:rPr>
          <w:rFonts w:ascii="Times New Roman" w:hAnsi="Times New Roman" w:eastAsia="宋体"/>
          <w:b w:val="0"/>
          <w:bCs w:val="0"/>
          <w:color w:val="auto"/>
          <w:szCs w:val="21"/>
        </w:rPr>
        <w:t>，</w:t>
      </w:r>
      <w:r>
        <w:rPr>
          <w:rFonts w:hint="default" w:ascii="Times New Roman" w:hAnsi="Times New Roman" w:eastAsia="宋体"/>
          <w:b w:val="0"/>
          <w:bCs w:val="0"/>
          <w:color w:val="auto"/>
          <w:szCs w:val="21"/>
        </w:rPr>
        <w:t>确保微量滴定板各孔细胞增长相对相等。进行该项检查是为了判定实验误差。</w:t>
      </w:r>
      <w:bookmarkEnd w:id="12"/>
    </w:p>
    <w:p>
      <w:pPr>
        <w:pStyle w:val="2"/>
        <w:spacing w:before="156" w:beforeLines="50" w:beforeAutospacing="0" w:after="156" w:afterLines="50" w:afterAutospacing="0"/>
        <w:rPr>
          <w:rFonts w:hint="default" w:ascii="Times New Roman" w:hAnsi="Times New Roman" w:eastAsia="宋体"/>
          <w:b w:val="0"/>
          <w:bCs w:val="0"/>
          <w:color w:val="auto"/>
          <w:szCs w:val="21"/>
        </w:rPr>
      </w:pPr>
      <w:bookmarkStart w:id="13" w:name="_Toc100929820"/>
      <w:r>
        <w:rPr>
          <w:rFonts w:hint="default" w:ascii="Times New Roman" w:hAnsi="Times New Roman" w:eastAsia="宋体"/>
          <w:bCs w:val="0"/>
          <w:color w:val="auto"/>
          <w:szCs w:val="21"/>
        </w:rPr>
        <w:t>7</w:t>
      </w:r>
      <w:r>
        <w:rPr>
          <w:rFonts w:ascii="Times New Roman" w:hAnsi="Times New Roman" w:eastAsia="宋体"/>
          <w:bCs w:val="0"/>
          <w:color w:val="auto"/>
          <w:szCs w:val="21"/>
        </w:rPr>
        <w:t>.2</w:t>
      </w:r>
      <w:r>
        <w:rPr>
          <w:rFonts w:ascii="黑体" w:hAnsi="黑体"/>
          <w:bCs w:val="0"/>
          <w:color w:val="auto"/>
          <w:szCs w:val="21"/>
        </w:rPr>
        <w:t>细胞传代生长后</w:t>
      </w:r>
      <w:r>
        <w:rPr>
          <w:rFonts w:hint="default" w:ascii="黑体" w:hAnsi="黑体"/>
          <w:bCs w:val="0"/>
          <w:color w:val="auto"/>
          <w:szCs w:val="21"/>
        </w:rPr>
        <w:t>第2天</w:t>
      </w:r>
      <w:r>
        <w:rPr>
          <w:rFonts w:hint="default" w:ascii="Times New Roman" w:hAnsi="Times New Roman" w:eastAsia="宋体"/>
          <w:b w:val="0"/>
          <w:bCs w:val="0"/>
          <w:color w:val="auto"/>
          <w:szCs w:val="21"/>
        </w:rPr>
        <w:br w:type="textWrapping"/>
      </w:r>
      <w:r>
        <w:rPr>
          <w:rFonts w:hint="default" w:ascii="Times New Roman" w:hAnsi="Times New Roman" w:eastAsia="宋体"/>
          <w:b w:val="0"/>
          <w:bCs w:val="0"/>
          <w:color w:val="auto"/>
          <w:szCs w:val="21"/>
        </w:rPr>
        <w:t>7</w:t>
      </w:r>
      <w:r>
        <w:rPr>
          <w:rFonts w:ascii="Times New Roman" w:hAnsi="Times New Roman" w:eastAsia="宋体"/>
          <w:b w:val="0"/>
          <w:bCs w:val="0"/>
          <w:color w:val="auto"/>
          <w:szCs w:val="21"/>
        </w:rPr>
        <w:t>.2.1</w:t>
      </w:r>
      <w:r>
        <w:rPr>
          <w:rFonts w:hint="default" w:ascii="Times New Roman" w:hAnsi="Times New Roman" w:eastAsia="宋体"/>
          <w:b w:val="0"/>
          <w:bCs w:val="0"/>
          <w:color w:val="auto"/>
          <w:szCs w:val="21"/>
        </w:rPr>
        <w:t>孵育24h后吸出培养基。</w:t>
      </w:r>
      <w:r>
        <w:rPr>
          <w:rFonts w:hint="default" w:ascii="Times New Roman" w:hAnsi="Times New Roman" w:eastAsia="宋体"/>
          <w:b w:val="0"/>
          <w:bCs w:val="0"/>
          <w:color w:val="auto"/>
          <w:szCs w:val="21"/>
        </w:rPr>
        <w:br w:type="textWrapping"/>
      </w:r>
      <w:r>
        <w:rPr>
          <w:rFonts w:hint="default" w:ascii="Times New Roman" w:hAnsi="Times New Roman" w:eastAsia="宋体"/>
          <w:b w:val="0"/>
          <w:bCs w:val="0"/>
          <w:color w:val="auto"/>
          <w:szCs w:val="21"/>
        </w:rPr>
        <w:t>7</w:t>
      </w:r>
      <w:r>
        <w:rPr>
          <w:rFonts w:ascii="Times New Roman" w:hAnsi="Times New Roman" w:eastAsia="宋体"/>
          <w:b w:val="0"/>
          <w:bCs w:val="0"/>
          <w:color w:val="auto"/>
          <w:szCs w:val="21"/>
        </w:rPr>
        <w:t>.2.2</w:t>
      </w:r>
      <w:r>
        <w:rPr>
          <w:rFonts w:hint="default" w:ascii="Times New Roman" w:hAnsi="Times New Roman" w:eastAsia="宋体"/>
          <w:b w:val="0"/>
          <w:bCs w:val="0"/>
          <w:color w:val="auto"/>
          <w:szCs w:val="21"/>
        </w:rPr>
        <w:t>每孔加入100μL含适当浓度样品浸提液、或阴性对照、或阳性对照或</w:t>
      </w:r>
      <w:r>
        <w:rPr>
          <w:rFonts w:ascii="Times New Roman" w:hAnsi="Times New Roman" w:eastAsia="宋体"/>
          <w:b w:val="0"/>
          <w:bCs w:val="0"/>
          <w:color w:val="auto"/>
          <w:szCs w:val="21"/>
        </w:rPr>
        <w:t>空白</w:t>
      </w:r>
      <w:r>
        <w:rPr>
          <w:rFonts w:hint="default" w:ascii="Times New Roman" w:hAnsi="Times New Roman" w:eastAsia="宋体"/>
          <w:b w:val="0"/>
          <w:bCs w:val="0"/>
          <w:color w:val="auto"/>
          <w:szCs w:val="21"/>
        </w:rPr>
        <w:t>对照的处理培养基。试验或</w:t>
      </w:r>
      <w:r>
        <w:rPr>
          <w:rFonts w:ascii="Times New Roman" w:hAnsi="Times New Roman" w:eastAsia="宋体"/>
          <w:b w:val="0"/>
          <w:bCs w:val="0"/>
          <w:color w:val="auto"/>
          <w:szCs w:val="21"/>
        </w:rPr>
        <w:t>样品</w:t>
      </w:r>
      <w:r>
        <w:rPr>
          <w:rFonts w:hint="default" w:ascii="Times New Roman" w:hAnsi="Times New Roman" w:eastAsia="宋体"/>
          <w:b w:val="0"/>
          <w:bCs w:val="0"/>
          <w:color w:val="auto"/>
          <w:szCs w:val="21"/>
        </w:rPr>
        <w:t>浸提液宜至少有4个浓度</w:t>
      </w:r>
      <w:r>
        <w:rPr>
          <w:rFonts w:ascii="Times New Roman" w:hAnsi="Times New Roman" w:eastAsia="宋体"/>
          <w:b w:val="0"/>
          <w:bCs w:val="0"/>
          <w:color w:val="auto"/>
          <w:szCs w:val="21"/>
        </w:rPr>
        <w:t>，</w:t>
      </w:r>
      <w:r>
        <w:rPr>
          <w:rFonts w:hint="default" w:ascii="Times New Roman" w:hAnsi="Times New Roman" w:eastAsia="宋体"/>
          <w:b w:val="0"/>
          <w:bCs w:val="0"/>
          <w:color w:val="auto"/>
          <w:szCs w:val="21"/>
        </w:rPr>
        <w:t>最高浓度宜采用100%浸提液，其余浓度可为单一对数间隔范围内的适当浓度。阴性对照只宜检验100%</w:t>
      </w:r>
      <w:r>
        <w:rPr>
          <w:rFonts w:ascii="Times New Roman" w:hAnsi="Times New Roman" w:eastAsia="宋体"/>
          <w:b w:val="0"/>
          <w:bCs w:val="0"/>
          <w:color w:val="auto"/>
          <w:szCs w:val="21"/>
        </w:rPr>
        <w:t>浸</w:t>
      </w:r>
      <w:r>
        <w:rPr>
          <w:rFonts w:hint="default" w:ascii="Times New Roman" w:hAnsi="Times New Roman" w:eastAsia="宋体"/>
          <w:b w:val="0"/>
          <w:bCs w:val="0"/>
          <w:color w:val="auto"/>
          <w:szCs w:val="21"/>
        </w:rPr>
        <w:t>提液</w:t>
      </w:r>
      <w:r>
        <w:rPr>
          <w:rFonts w:ascii="Times New Roman" w:hAnsi="Times New Roman" w:eastAsia="宋体"/>
          <w:b w:val="0"/>
          <w:bCs w:val="0"/>
          <w:color w:val="auto"/>
          <w:szCs w:val="21"/>
        </w:rPr>
        <w:t>，</w:t>
      </w:r>
      <w:r>
        <w:rPr>
          <w:rFonts w:hint="default" w:ascii="Times New Roman" w:hAnsi="Times New Roman" w:eastAsia="宋体"/>
          <w:b w:val="0"/>
          <w:bCs w:val="0"/>
          <w:color w:val="auto"/>
          <w:szCs w:val="21"/>
        </w:rPr>
        <w:t>宜使用培养基作为空白。</w:t>
      </w:r>
      <w:bookmarkEnd w:id="13"/>
    </w:p>
    <w:p>
      <w:pPr>
        <w:pStyle w:val="2"/>
        <w:spacing w:before="100" w:after="100"/>
        <w:rPr>
          <w:rFonts w:hint="default" w:ascii="Times New Roman" w:hAnsi="Times New Roman" w:eastAsia="宋体"/>
          <w:b w:val="0"/>
          <w:bCs w:val="0"/>
          <w:color w:val="auto"/>
          <w:szCs w:val="21"/>
        </w:rPr>
      </w:pPr>
      <w:bookmarkStart w:id="14" w:name="_Toc100929821"/>
      <w:r>
        <w:rPr>
          <w:rFonts w:hint="default" w:ascii="Times New Roman" w:hAnsi="Times New Roman" w:eastAsia="宋体"/>
          <w:b w:val="0"/>
          <w:bCs w:val="0"/>
          <w:color w:val="auto"/>
          <w:szCs w:val="21"/>
        </w:rPr>
        <w:t>7</w:t>
      </w:r>
      <w:r>
        <w:rPr>
          <w:rFonts w:ascii="Times New Roman" w:hAnsi="Times New Roman" w:eastAsia="宋体"/>
          <w:b w:val="0"/>
          <w:bCs w:val="0"/>
          <w:color w:val="auto"/>
          <w:szCs w:val="21"/>
        </w:rPr>
        <w:t>.2.3</w:t>
      </w:r>
      <w:r>
        <w:rPr>
          <w:rFonts w:hint="default" w:ascii="Times New Roman" w:hAnsi="Times New Roman" w:eastAsia="宋体"/>
          <w:b w:val="0"/>
          <w:bCs w:val="0"/>
          <w:color w:val="auto"/>
          <w:szCs w:val="21"/>
        </w:rPr>
        <w:t>细胞孵育</w:t>
      </w:r>
      <w:r>
        <w:rPr>
          <w:rFonts w:hint="default" w:asciiTheme="minorEastAsia" w:hAnsiTheme="minorEastAsia" w:eastAsiaTheme="minorEastAsia"/>
          <w:b w:val="0"/>
          <w:bCs w:val="0"/>
          <w:color w:val="auto"/>
          <w:szCs w:val="21"/>
        </w:rPr>
        <w:t>24h(5%CO</w:t>
      </w:r>
      <w:r>
        <w:rPr>
          <w:rFonts w:hint="default" w:asciiTheme="minorEastAsia" w:hAnsiTheme="minorEastAsia" w:eastAsiaTheme="minorEastAsia"/>
          <w:b w:val="0"/>
          <w:bCs w:val="0"/>
          <w:color w:val="auto"/>
          <w:szCs w:val="21"/>
          <w:vertAlign w:val="subscript"/>
        </w:rPr>
        <w:t>2</w:t>
      </w:r>
      <w:r>
        <w:rPr>
          <w:rFonts w:asciiTheme="minorEastAsia" w:hAnsiTheme="minorEastAsia" w:eastAsiaTheme="minorEastAsia"/>
          <w:b w:val="0"/>
          <w:bCs w:val="0"/>
          <w:color w:val="auto"/>
          <w:szCs w:val="21"/>
        </w:rPr>
        <w:t>，</w:t>
      </w:r>
      <w:r>
        <w:rPr>
          <w:rFonts w:hint="default" w:asciiTheme="minorEastAsia" w:hAnsiTheme="minorEastAsia" w:eastAsiaTheme="minorEastAsia"/>
          <w:b w:val="0"/>
          <w:bCs w:val="0"/>
          <w:color w:val="auto"/>
          <w:szCs w:val="21"/>
        </w:rPr>
        <w:t>37</w:t>
      </w:r>
      <w:r>
        <w:rPr>
          <w:rFonts w:cs="宋体" w:asciiTheme="minorEastAsia" w:hAnsiTheme="minorEastAsia" w:eastAsiaTheme="minorEastAsia"/>
          <w:color w:val="333333"/>
          <w:sz w:val="20"/>
          <w:szCs w:val="20"/>
          <w:shd w:val="clear" w:color="auto" w:fill="FFFFFF"/>
        </w:rPr>
        <w:t>℃</w:t>
      </w:r>
      <w:r>
        <w:rPr>
          <w:rFonts w:asciiTheme="minorEastAsia" w:hAnsiTheme="minorEastAsia" w:eastAsiaTheme="minorEastAsia"/>
          <w:b w:val="0"/>
          <w:bCs w:val="0"/>
          <w:color w:val="auto"/>
          <w:szCs w:val="21"/>
        </w:rPr>
        <w:t>，</w:t>
      </w:r>
      <w:r>
        <w:rPr>
          <w:rFonts w:hint="default" w:asciiTheme="minorEastAsia" w:hAnsiTheme="minorEastAsia" w:eastAsiaTheme="minorEastAsia"/>
          <w:b w:val="0"/>
          <w:bCs w:val="0"/>
          <w:color w:val="auto"/>
          <w:szCs w:val="21"/>
        </w:rPr>
        <w:t>&gt;90%湿度)</w:t>
      </w:r>
      <w:r>
        <w:rPr>
          <w:rFonts w:hint="default" w:ascii="Times New Roman" w:hAnsi="Times New Roman" w:eastAsia="宋体"/>
          <w:b w:val="0"/>
          <w:bCs w:val="0"/>
          <w:color w:val="auto"/>
          <w:szCs w:val="21"/>
        </w:rPr>
        <w:t>。</w:t>
      </w:r>
      <w:bookmarkEnd w:id="14"/>
    </w:p>
    <w:p>
      <w:pPr>
        <w:pStyle w:val="2"/>
        <w:spacing w:before="156" w:beforeLines="50" w:beforeAutospacing="0" w:after="156" w:afterLines="50" w:afterAutospacing="0"/>
        <w:rPr>
          <w:rFonts w:hint="default" w:ascii="Times New Roman" w:hAnsi="Times New Roman" w:eastAsia="宋体"/>
          <w:b w:val="0"/>
          <w:bCs w:val="0"/>
          <w:color w:val="auto"/>
          <w:szCs w:val="21"/>
        </w:rPr>
      </w:pPr>
      <w:bookmarkStart w:id="15" w:name="_Toc100929822"/>
      <w:r>
        <w:rPr>
          <w:rFonts w:hint="default" w:ascii="Times New Roman" w:hAnsi="Times New Roman" w:eastAsia="宋体"/>
          <w:bCs w:val="0"/>
          <w:color w:val="auto"/>
          <w:szCs w:val="21"/>
        </w:rPr>
        <w:t>7</w:t>
      </w:r>
      <w:r>
        <w:rPr>
          <w:rFonts w:ascii="Times New Roman" w:hAnsi="Times New Roman" w:eastAsia="宋体"/>
          <w:bCs w:val="0"/>
          <w:color w:val="auto"/>
          <w:szCs w:val="21"/>
        </w:rPr>
        <w:t>.3</w:t>
      </w:r>
      <w:r>
        <w:rPr>
          <w:rFonts w:ascii="黑体" w:hAnsi="黑体"/>
          <w:bCs w:val="0"/>
          <w:color w:val="auto"/>
          <w:szCs w:val="21"/>
        </w:rPr>
        <w:t>细胞传代生长后</w:t>
      </w:r>
      <w:r>
        <w:rPr>
          <w:rFonts w:hint="default" w:ascii="黑体" w:hAnsi="黑体"/>
          <w:bCs w:val="0"/>
          <w:color w:val="auto"/>
          <w:szCs w:val="21"/>
        </w:rPr>
        <w:t>第3天</w:t>
      </w:r>
      <w:r>
        <w:rPr>
          <w:rFonts w:hint="default" w:ascii="Times New Roman" w:hAnsi="Times New Roman" w:eastAsia="宋体"/>
          <w:b w:val="0"/>
          <w:bCs w:val="0"/>
          <w:color w:val="auto"/>
          <w:szCs w:val="21"/>
        </w:rPr>
        <w:br w:type="textWrapping"/>
      </w:r>
      <w:r>
        <w:rPr>
          <w:rFonts w:hint="default" w:ascii="Times New Roman" w:hAnsi="Times New Roman" w:eastAsia="宋体"/>
          <w:b w:val="0"/>
          <w:bCs w:val="0"/>
          <w:color w:val="auto"/>
          <w:szCs w:val="21"/>
        </w:rPr>
        <w:t>7</w:t>
      </w:r>
      <w:r>
        <w:rPr>
          <w:rFonts w:ascii="Times New Roman" w:hAnsi="Times New Roman" w:eastAsia="宋体"/>
          <w:b w:val="0"/>
          <w:bCs w:val="0"/>
          <w:color w:val="auto"/>
          <w:szCs w:val="21"/>
        </w:rPr>
        <w:t xml:space="preserve">.3.1 </w:t>
      </w:r>
      <w:r>
        <w:rPr>
          <w:rFonts w:hint="default" w:ascii="Times New Roman" w:hAnsi="Times New Roman" w:eastAsia="宋体"/>
          <w:b w:val="0"/>
          <w:bCs w:val="0"/>
          <w:color w:val="auto"/>
          <w:szCs w:val="21"/>
        </w:rPr>
        <w:t>24h处置后在相差显微镜下检查每个板</w:t>
      </w:r>
      <w:r>
        <w:rPr>
          <w:rFonts w:ascii="Times New Roman" w:hAnsi="Times New Roman" w:eastAsia="宋体"/>
          <w:b w:val="0"/>
          <w:bCs w:val="0"/>
          <w:color w:val="auto"/>
          <w:szCs w:val="21"/>
        </w:rPr>
        <w:t>，</w:t>
      </w:r>
      <w:r>
        <w:rPr>
          <w:rFonts w:hint="default" w:ascii="Times New Roman" w:hAnsi="Times New Roman" w:eastAsia="宋体"/>
          <w:b w:val="0"/>
          <w:bCs w:val="0"/>
          <w:color w:val="auto"/>
          <w:szCs w:val="21"/>
        </w:rPr>
        <w:t>判定细胞接种系统误差和对照与试验组细胞的生长特性。记录试验样品浸提液细胞毒性作用导致的细胞形态学方面的改变</w:t>
      </w:r>
      <w:r>
        <w:rPr>
          <w:rFonts w:ascii="Times New Roman" w:hAnsi="Times New Roman" w:eastAsia="宋体"/>
          <w:b w:val="0"/>
          <w:bCs w:val="0"/>
          <w:color w:val="auto"/>
          <w:szCs w:val="21"/>
        </w:rPr>
        <w:t>，</w:t>
      </w:r>
      <w:r>
        <w:rPr>
          <w:rFonts w:hint="default" w:ascii="Times New Roman" w:hAnsi="Times New Roman" w:eastAsia="宋体"/>
          <w:b w:val="0"/>
          <w:bCs w:val="0"/>
          <w:color w:val="auto"/>
          <w:szCs w:val="21"/>
        </w:rPr>
        <w:t>但这些记录不用于任何细胞毒性定量测定。对照细胞的不良生长特性可表明实验误差</w:t>
      </w:r>
      <w:r>
        <w:rPr>
          <w:rFonts w:ascii="Times New Roman" w:hAnsi="Times New Roman" w:eastAsia="宋体"/>
          <w:b w:val="0"/>
          <w:bCs w:val="0"/>
          <w:color w:val="auto"/>
          <w:szCs w:val="21"/>
        </w:rPr>
        <w:t>，</w:t>
      </w:r>
      <w:r>
        <w:rPr>
          <w:rFonts w:hint="default" w:ascii="Times New Roman" w:hAnsi="Times New Roman" w:eastAsia="宋体"/>
          <w:b w:val="0"/>
          <w:bCs w:val="0"/>
          <w:color w:val="auto"/>
          <w:szCs w:val="21"/>
        </w:rPr>
        <w:t>并且可能会因此放弃该试验。</w:t>
      </w:r>
      <w:r>
        <w:rPr>
          <w:rFonts w:hint="default" w:ascii="Times New Roman" w:hAnsi="Times New Roman" w:eastAsia="宋体"/>
          <w:b w:val="0"/>
          <w:bCs w:val="0"/>
          <w:color w:val="auto"/>
          <w:szCs w:val="21"/>
        </w:rPr>
        <w:br w:type="textWrapping"/>
      </w:r>
      <w:r>
        <w:rPr>
          <w:rFonts w:hint="default" w:ascii="Times New Roman" w:hAnsi="Times New Roman" w:eastAsia="宋体" w:cs="Times New Roman"/>
          <w:b w:val="0"/>
          <w:bCs w:val="0"/>
          <w:color w:val="auto"/>
          <w:szCs w:val="21"/>
        </w:rPr>
        <w:t>7.3.2平板检查后小心移除培养基。</w:t>
      </w:r>
      <w:r>
        <w:rPr>
          <w:rFonts w:hint="default" w:ascii="Times New Roman" w:hAnsi="Times New Roman" w:cs="Times New Roman" w:eastAsiaTheme="minorEastAsia"/>
          <w:b w:val="0"/>
          <w:bCs w:val="0"/>
          <w:color w:val="auto"/>
          <w:szCs w:val="21"/>
        </w:rPr>
        <w:t>将50μLMTT溶液（终浓度为1mg/mL）加到每一试验孔中，平板在37℃培养箱中再孵育2h。然后弃去MTT溶液，每孔加人100μL异丙醇溶液。震荡平板，置于配置570nm滤光片的微孔滴定板光度计上测定吸光度(参照波长650nm)。</w:t>
      </w:r>
      <w:bookmarkEnd w:id="15"/>
    </w:p>
    <w:p>
      <w:pPr>
        <w:pStyle w:val="2"/>
        <w:rPr>
          <w:rFonts w:hint="default"/>
        </w:rPr>
      </w:pPr>
      <w:bookmarkStart w:id="16" w:name="_Toc100929823"/>
      <w:r>
        <w:rPr>
          <w:rFonts w:hint="default" w:asciiTheme="minorEastAsia" w:hAnsiTheme="minorEastAsia"/>
        </w:rPr>
        <w:t>8</w:t>
      </w:r>
      <w:r>
        <w:rPr>
          <w:rFonts w:hint="default"/>
        </w:rPr>
        <w:t>数据记录</w:t>
      </w:r>
    </w:p>
    <w:p>
      <w:pPr>
        <w:keepNext w:val="0"/>
        <w:keepLines w:val="0"/>
        <w:pageBreakBefore w:val="0"/>
        <w:widowControl w:val="0"/>
        <w:kinsoku/>
        <w:wordWrap/>
        <w:overflowPunct/>
        <w:topLinePunct w:val="0"/>
        <w:autoSpaceDE/>
        <w:autoSpaceDN/>
        <w:bidi w:val="0"/>
        <w:adjustRightInd/>
        <w:snapToGrid/>
        <w:spacing w:before="312" w:beforeLines="100" w:after="312" w:afterLines="100"/>
        <w:ind w:firstLine="420" w:firstLineChars="200"/>
        <w:textAlignment w:val="auto"/>
        <w:rPr>
          <w:rStyle w:val="16"/>
          <w:lang w:eastAsia="zh-CN"/>
        </w:rPr>
      </w:pPr>
      <w:r>
        <w:t>原始数据文件中要记录产生的数据。以表格形式出具结果,包括试验组、阴性对照、空白对照和阳性对照组。</w:t>
      </w:r>
      <w:r>
        <w:br w:type="textWrapping"/>
      </w:r>
      <w:r>
        <w:rPr>
          <w:rFonts w:asciiTheme="minorEastAsia" w:hAnsiTheme="minorEastAsia"/>
        </w:rPr>
        <w:br w:type="textWrapping"/>
      </w:r>
      <w:r>
        <w:rPr>
          <w:rStyle w:val="16"/>
          <w:lang w:eastAsia="zh-CN"/>
        </w:rPr>
        <w:t>9数据分析</w:t>
      </w:r>
    </w:p>
    <w:p>
      <w:pPr>
        <w:ind w:firstLine="420" w:firstLineChars="200"/>
        <w:rPr>
          <w:b/>
        </w:rPr>
      </w:pPr>
      <w:r>
        <w:t>细胞数减少导致了样品中代谢活性降低，这直接与生成的蓝紫色甲臜量有关，在570nm测量光密度。按式(8.1)与空白等式比较计算存活率下降:</w:t>
      </w:r>
      <w:bookmarkStart w:id="21" w:name="_GoBack"/>
      <w:bookmarkEnd w:id="21"/>
      <w:r>
        <w:br w:type="textWrapping"/>
      </w:r>
      <m:oMath>
        <m:r>
          <m:rPr>
            <m:sty m:val="b"/>
          </m:rPr>
          <w:rPr>
            <w:rFonts w:ascii="Cambria Math" w:hAnsi="Cambria Math"/>
            <w:szCs w:val="21"/>
          </w:rPr>
          <m:t>存活率(%)</m:t>
        </m:r>
        <m:r>
          <m:rPr>
            <m:sty m:val="b"/>
          </m:rPr>
          <w:rPr>
            <w:rFonts w:ascii="Cambria Math" w:hAnsi="Cambria Math" w:eastAsia="Cambria Math"/>
            <w:szCs w:val="21"/>
          </w:rPr>
          <m:t>=</m:t>
        </m:r>
        <m:f>
          <m:fPr>
            <m:ctrlPr>
              <w:rPr>
                <w:rFonts w:ascii="Cambria Math" w:hAnsi="Cambria Math" w:eastAsia="Cambria Math"/>
                <w:szCs w:val="21"/>
              </w:rPr>
            </m:ctrlPr>
          </m:fPr>
          <m:num>
            <m:r>
              <m:rPr>
                <m:sty m:val="b"/>
              </m:rPr>
              <w:rPr>
                <w:rFonts w:ascii="Cambria Math" w:hAnsi="Cambria Math"/>
                <w:szCs w:val="21"/>
              </w:rPr>
              <m:t>100×OD</m:t>
            </m:r>
            <m:r>
              <m:rPr>
                <m:sty m:val="b"/>
              </m:rPr>
              <w:rPr>
                <w:rFonts w:ascii="Cambria Math" w:hAnsi="Cambria Math"/>
                <w:szCs w:val="21"/>
                <w:vertAlign w:val="subscript"/>
              </w:rPr>
              <m:t>570e</m:t>
            </m:r>
            <m:ctrlPr>
              <w:rPr>
                <w:rFonts w:ascii="Cambria Math" w:hAnsi="Cambria Math" w:eastAsia="Cambria Math"/>
                <w:szCs w:val="21"/>
              </w:rPr>
            </m:ctrlPr>
          </m:num>
          <m:den>
            <m:r>
              <m:rPr>
                <m:sty m:val="b"/>
              </m:rPr>
              <w:rPr>
                <w:rFonts w:ascii="Cambria Math" w:hAnsi="Cambria Math"/>
                <w:szCs w:val="21"/>
              </w:rPr>
              <m:t>OD</m:t>
            </m:r>
            <m:r>
              <m:rPr>
                <m:sty m:val="b"/>
              </m:rPr>
              <w:rPr>
                <w:rFonts w:ascii="Cambria Math" w:hAnsi="Cambria Math"/>
                <w:szCs w:val="21"/>
                <w:vertAlign w:val="subscript"/>
              </w:rPr>
              <m:t>570b</m:t>
            </m:r>
            <m:ctrlPr>
              <w:rPr>
                <w:rFonts w:ascii="Cambria Math" w:hAnsi="Cambria Math" w:eastAsia="Cambria Math"/>
                <w:szCs w:val="21"/>
              </w:rPr>
            </m:ctrlPr>
          </m:den>
        </m:f>
      </m:oMath>
      <w:r>
        <w:t>………………………………………… （8.1）</w:t>
      </w:r>
      <w:bookmarkEnd w:id="16"/>
    </w:p>
    <w:p>
      <w:pPr>
        <w:rPr>
          <w:rFonts w:asciiTheme="minorEastAsia" w:hAnsiTheme="minorEastAsia"/>
          <w:b/>
        </w:rPr>
      </w:pPr>
      <w:bookmarkStart w:id="17" w:name="_Toc100929824"/>
      <w:r>
        <w:rPr>
          <w:rFonts w:asciiTheme="minorEastAsia" w:hAnsiTheme="minorEastAsia"/>
        </w:rPr>
        <w:t>式中:</w:t>
      </w:r>
      <w:r>
        <w:rPr>
          <w:rFonts w:asciiTheme="minorEastAsia" w:hAnsiTheme="minorEastAsia"/>
        </w:rPr>
        <w:br w:type="textWrapping"/>
      </w:r>
      <w:r>
        <w:t>OD</w:t>
      </w:r>
      <w:r>
        <w:rPr>
          <w:vertAlign w:val="subscript"/>
        </w:rPr>
        <w:t>570e</w:t>
      </w:r>
      <w:r>
        <w:rPr>
          <w:rFonts w:asciiTheme="minorEastAsia" w:hAnsiTheme="minorEastAsia"/>
        </w:rPr>
        <w:t>---试验样品100</w:t>
      </w:r>
      <w:r>
        <w:t>%</w:t>
      </w:r>
      <w:r>
        <w:rPr>
          <w:rFonts w:asciiTheme="minorEastAsia" w:hAnsiTheme="minorEastAsia"/>
        </w:rPr>
        <w:t>浸提液光密度平均值；</w:t>
      </w:r>
      <w:bookmarkEnd w:id="17"/>
    </w:p>
    <w:p>
      <w:pPr>
        <w:rPr>
          <w:rFonts w:asciiTheme="minorEastAsia" w:hAnsiTheme="minorEastAsia"/>
          <w:b/>
        </w:rPr>
      </w:pPr>
      <w:bookmarkStart w:id="18" w:name="_Toc100929825"/>
      <w:r>
        <w:t>OD</w:t>
      </w:r>
      <w:r>
        <w:rPr>
          <w:vertAlign w:val="subscript"/>
        </w:rPr>
        <w:t>570b</w:t>
      </w:r>
      <w:r>
        <w:rPr>
          <w:rFonts w:asciiTheme="minorEastAsia" w:hAnsiTheme="minorEastAsia"/>
        </w:rPr>
        <w:t>---空白光密度平均值。</w:t>
      </w:r>
      <w:bookmarkEnd w:id="18"/>
    </w:p>
    <w:p>
      <w:pPr>
        <w:rPr>
          <w:b/>
        </w:rPr>
      </w:pPr>
      <w:bookmarkStart w:id="19" w:name="_Toc100929826"/>
      <w:r>
        <w:t>存活率较低时,试验样品潜在的细胞毒性较高。</w:t>
      </w:r>
      <w:bookmarkEnd w:id="19"/>
    </w:p>
    <w:p>
      <w:bookmarkStart w:id="20" w:name="_Toc100929827"/>
      <w:r>
        <w:t>如存活率下降到&lt;空白的70%，则具有潜在的细胞毒性。试验样品50%浸提液存活率宜至少与100%浸提液的存活率相同或较高，</w:t>
      </w:r>
      <w:r>
        <w:rPr>
          <w:rFonts w:asciiTheme="minorEastAsia" w:hAnsiTheme="minorEastAsia"/>
        </w:rPr>
        <w:t>否则宜重复试验。</w:t>
      </w:r>
      <w:bookmarkEnd w:id="20"/>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302260"/>
              <wp:effectExtent l="0" t="0" r="12065" b="15240"/>
              <wp:wrapNone/>
              <wp:docPr id="11" name="文本框 11"/>
              <wp:cNvGraphicFramePr/>
              <a:graphic xmlns:a="http://schemas.openxmlformats.org/drawingml/2006/main">
                <a:graphicData uri="http://schemas.microsoft.com/office/word/2010/wordprocessingShape">
                  <wps:wsp>
                    <wps:cNvSpPr txBox="1"/>
                    <wps:spPr>
                      <a:xfrm>
                        <a:off x="0" y="0"/>
                        <a:ext cx="114935" cy="3022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98441026"/>
                          </w:sdtPr>
                          <w:sdtContent>
                            <w:p>
                              <w:pPr>
                                <w:pStyle w:val="8"/>
                                <w:jc w:val="center"/>
                              </w:pPr>
                              <w:r>
                                <w:fldChar w:fldCharType="begin"/>
                              </w:r>
                              <w:r>
                                <w:instrText xml:space="preserve">PAGE   \* MERGEFORMAT</w:instrText>
                              </w:r>
                              <w:r>
                                <w:fldChar w:fldCharType="separate"/>
                              </w:r>
                              <w:r>
                                <w:rPr>
                                  <w:lang w:val="zh-CN"/>
                                </w:rPr>
                                <w:t>II</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3.8pt;width:9.05pt;mso-position-horizontal:center;mso-position-horizontal-relative:margin;mso-wrap-style:none;z-index:251660288;mso-width-relative:page;mso-height-relative:page;" filled="f" stroked="f" coordsize="21600,21600" o:gfxdata="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qP/6tdIAAAADAQAADwAAAAAAAAABACAAAAAiAAAAZHJzL2Rvd25yZXYueG1sUEsBAhQAFAAA&#10;AAgAh07iQFHT8iUuAgAAVQQAAA4AAAAAAAAAAQAgAAAAIQEAAGRycy9lMm9Eb2MueG1sUEsFBgAA&#10;AAAGAAYAWQEAAMEFAAAAAA==&#10;">
              <v:fill on="f" focussize="0,0"/>
              <v:stroke on="f" weight="0.5pt"/>
              <v:imagedata o:title=""/>
              <o:lock v:ext="edit" aspectratio="f"/>
              <v:textbox inset="0mm,0mm,0mm,0mm" style="mso-fit-shape-to-text:t;">
                <w:txbxContent>
                  <w:sdt>
                    <w:sdtPr>
                      <w:id w:val="698441026"/>
                    </w:sdtPr>
                    <w:sdtContent>
                      <w:p>
                        <w:pPr>
                          <w:pStyle w:val="8"/>
                          <w:jc w:val="center"/>
                        </w:pPr>
                        <w:r>
                          <w:fldChar w:fldCharType="begin"/>
                        </w:r>
                        <w:r>
                          <w:instrText xml:space="preserve">PAGE   \* MERGEFORMAT</w:instrText>
                        </w:r>
                        <w:r>
                          <w:fldChar w:fldCharType="separate"/>
                        </w:r>
                        <w:r>
                          <w:rPr>
                            <w:lang w:val="zh-CN"/>
                          </w:rPr>
                          <w:t>II</w:t>
                        </w:r>
                        <w:r>
                          <w:fldChar w:fldCharType="end"/>
                        </w:r>
                      </w:p>
                    </w:sdtContent>
                  </w:sdt>
                  <w:p/>
                </w:txbxContent>
              </v:textbox>
            </v:shape>
          </w:pict>
        </mc:Fallback>
      </mc:AlternateContent>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302260"/>
              <wp:effectExtent l="0" t="0" r="12065" b="15240"/>
              <wp:wrapNone/>
              <wp:docPr id="10" name="文本框 10"/>
              <wp:cNvGraphicFramePr/>
              <a:graphic xmlns:a="http://schemas.openxmlformats.org/drawingml/2006/main">
                <a:graphicData uri="http://schemas.microsoft.com/office/word/2010/wordprocessingShape">
                  <wps:wsp>
                    <wps:cNvSpPr txBox="1"/>
                    <wps:spPr>
                      <a:xfrm>
                        <a:off x="0" y="0"/>
                        <a:ext cx="114935" cy="3022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87892842"/>
                          </w:sdtPr>
                          <w:sdtContent>
                            <w:p>
                              <w:pPr>
                                <w:pStyle w:val="8"/>
                                <w:jc w:val="center"/>
                              </w:pPr>
                              <w:r>
                                <w:fldChar w:fldCharType="begin"/>
                              </w:r>
                              <w:r>
                                <w:instrText xml:space="preserve">PAGE   \* MERGEFORMAT</w:instrText>
                              </w:r>
                              <w:r>
                                <w:fldChar w:fldCharType="separate"/>
                              </w:r>
                              <w:r>
                                <w:rPr>
                                  <w:lang w:val="zh-CN"/>
                                </w:rPr>
                                <w:t>3</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3.8pt;width:9.05pt;mso-position-horizontal:center;mso-position-horizontal-relative:margin;mso-wrap-style:none;z-index:251659264;mso-width-relative:page;mso-height-relative:page;" filled="f" stroked="f" coordsize="21600,21600" o:gfxdata="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o//q10gAAAAMBAAAPAAAAAAAAAAEAIAAAACIAAABkcnMvZG93bnJldi54bWxQSwECFAAU&#10;AAAACACHTuJAD8pAsDACAABVBAAADgAAAAAAAAABACAAAAAhAQAAZHJzL2Uyb0RvYy54bWxQSwUG&#10;AAAAAAYABgBZAQAAwwUAAAAA&#10;">
              <v:fill on="f" focussize="0,0"/>
              <v:stroke on="f" weight="0.5pt"/>
              <v:imagedata o:title=""/>
              <o:lock v:ext="edit" aspectratio="f"/>
              <v:textbox inset="0mm,0mm,0mm,0mm" style="mso-fit-shape-to-text:t;">
                <w:txbxContent>
                  <w:sdt>
                    <w:sdtPr>
                      <w:id w:val="1987892842"/>
                    </w:sdtPr>
                    <w:sdtContent>
                      <w:p>
                        <w:pPr>
                          <w:pStyle w:val="8"/>
                          <w:jc w:val="center"/>
                        </w:pPr>
                        <w:r>
                          <w:fldChar w:fldCharType="begin"/>
                        </w:r>
                        <w:r>
                          <w:instrText xml:space="preserve">PAGE   \* MERGEFORMAT</w:instrText>
                        </w:r>
                        <w:r>
                          <w:fldChar w:fldCharType="separate"/>
                        </w:r>
                        <w:r>
                          <w:rPr>
                            <w:lang w:val="zh-CN"/>
                          </w:rPr>
                          <w:t>3</w:t>
                        </w:r>
                        <w:r>
                          <w:fldChar w:fldCharType="end"/>
                        </w:r>
                      </w:p>
                    </w:sdtContent>
                  </w:sdt>
                  <w:p/>
                </w:txbxContent>
              </v:textbox>
            </v:shape>
          </w:pict>
        </mc:Fallback>
      </mc:AlternateConten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C90DBD"/>
    <w:multiLevelType w:val="multilevel"/>
    <w:tmpl w:val="48C90DBD"/>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9357A2"/>
    <w:rsid w:val="00007445"/>
    <w:rsid w:val="00034A55"/>
    <w:rsid w:val="0006017D"/>
    <w:rsid w:val="00085A29"/>
    <w:rsid w:val="000A05D1"/>
    <w:rsid w:val="000D4B64"/>
    <w:rsid w:val="000E2121"/>
    <w:rsid w:val="000F2C11"/>
    <w:rsid w:val="00182994"/>
    <w:rsid w:val="001B6C67"/>
    <w:rsid w:val="001D548B"/>
    <w:rsid w:val="001D5C86"/>
    <w:rsid w:val="001F27D2"/>
    <w:rsid w:val="00211B75"/>
    <w:rsid w:val="00212A62"/>
    <w:rsid w:val="00236B8A"/>
    <w:rsid w:val="0028019B"/>
    <w:rsid w:val="002E699D"/>
    <w:rsid w:val="002F6CE0"/>
    <w:rsid w:val="00303003"/>
    <w:rsid w:val="00304339"/>
    <w:rsid w:val="00346A95"/>
    <w:rsid w:val="00346AF4"/>
    <w:rsid w:val="003A7633"/>
    <w:rsid w:val="003B2639"/>
    <w:rsid w:val="003D2C08"/>
    <w:rsid w:val="003E1712"/>
    <w:rsid w:val="003E4CFA"/>
    <w:rsid w:val="003F606B"/>
    <w:rsid w:val="003F6AEE"/>
    <w:rsid w:val="004C673B"/>
    <w:rsid w:val="004F2F32"/>
    <w:rsid w:val="0055221D"/>
    <w:rsid w:val="00557EF4"/>
    <w:rsid w:val="00586615"/>
    <w:rsid w:val="005C6B42"/>
    <w:rsid w:val="005E69D6"/>
    <w:rsid w:val="005E7ADB"/>
    <w:rsid w:val="00654D29"/>
    <w:rsid w:val="006A09AB"/>
    <w:rsid w:val="006A7CB8"/>
    <w:rsid w:val="006D30CD"/>
    <w:rsid w:val="006F5A47"/>
    <w:rsid w:val="0070769B"/>
    <w:rsid w:val="00725083"/>
    <w:rsid w:val="00743380"/>
    <w:rsid w:val="00766C0F"/>
    <w:rsid w:val="00777CBE"/>
    <w:rsid w:val="007B00B5"/>
    <w:rsid w:val="007B4D84"/>
    <w:rsid w:val="00812754"/>
    <w:rsid w:val="0082708B"/>
    <w:rsid w:val="00885456"/>
    <w:rsid w:val="00946CDC"/>
    <w:rsid w:val="00955855"/>
    <w:rsid w:val="009763A8"/>
    <w:rsid w:val="009B178A"/>
    <w:rsid w:val="009B7EB2"/>
    <w:rsid w:val="009E222C"/>
    <w:rsid w:val="009F0A57"/>
    <w:rsid w:val="00A23BF1"/>
    <w:rsid w:val="00A722C8"/>
    <w:rsid w:val="00A9653A"/>
    <w:rsid w:val="00AD0442"/>
    <w:rsid w:val="00AD3E0B"/>
    <w:rsid w:val="00AD704A"/>
    <w:rsid w:val="00B0050B"/>
    <w:rsid w:val="00B051B7"/>
    <w:rsid w:val="00B10712"/>
    <w:rsid w:val="00B63E96"/>
    <w:rsid w:val="00B97941"/>
    <w:rsid w:val="00C10490"/>
    <w:rsid w:val="00C167FD"/>
    <w:rsid w:val="00C56C88"/>
    <w:rsid w:val="00C85D42"/>
    <w:rsid w:val="00CE51A4"/>
    <w:rsid w:val="00D22D3D"/>
    <w:rsid w:val="00D358BC"/>
    <w:rsid w:val="00D7209E"/>
    <w:rsid w:val="00DA484B"/>
    <w:rsid w:val="00DB2ECE"/>
    <w:rsid w:val="00DF2049"/>
    <w:rsid w:val="00E03907"/>
    <w:rsid w:val="00E0620A"/>
    <w:rsid w:val="00E12E77"/>
    <w:rsid w:val="00E15FBA"/>
    <w:rsid w:val="00E3102A"/>
    <w:rsid w:val="00E36749"/>
    <w:rsid w:val="00ED7ED9"/>
    <w:rsid w:val="00F013E8"/>
    <w:rsid w:val="00F32F68"/>
    <w:rsid w:val="00F4468B"/>
    <w:rsid w:val="00F540CF"/>
    <w:rsid w:val="00FB5621"/>
    <w:rsid w:val="00FC2EF7"/>
    <w:rsid w:val="00FE27CD"/>
    <w:rsid w:val="03655928"/>
    <w:rsid w:val="03FB660C"/>
    <w:rsid w:val="040843FF"/>
    <w:rsid w:val="04C00483"/>
    <w:rsid w:val="06B22A61"/>
    <w:rsid w:val="07215F41"/>
    <w:rsid w:val="0DF33CF1"/>
    <w:rsid w:val="0E247472"/>
    <w:rsid w:val="0F224D63"/>
    <w:rsid w:val="0FA201B4"/>
    <w:rsid w:val="130948E0"/>
    <w:rsid w:val="149C6FBF"/>
    <w:rsid w:val="17654B16"/>
    <w:rsid w:val="1A101258"/>
    <w:rsid w:val="1BDF63B7"/>
    <w:rsid w:val="1C7473AF"/>
    <w:rsid w:val="1ECE1FB3"/>
    <w:rsid w:val="218B694D"/>
    <w:rsid w:val="236E3B1C"/>
    <w:rsid w:val="24526424"/>
    <w:rsid w:val="281841EC"/>
    <w:rsid w:val="2E351FAB"/>
    <w:rsid w:val="2E5232A8"/>
    <w:rsid w:val="35DA3E68"/>
    <w:rsid w:val="35EF1D67"/>
    <w:rsid w:val="37A05B64"/>
    <w:rsid w:val="3A12285B"/>
    <w:rsid w:val="3C8E2407"/>
    <w:rsid w:val="3E8A5381"/>
    <w:rsid w:val="3F794F89"/>
    <w:rsid w:val="40B22A56"/>
    <w:rsid w:val="40E516E7"/>
    <w:rsid w:val="43321736"/>
    <w:rsid w:val="43A80EA2"/>
    <w:rsid w:val="43C45BBD"/>
    <w:rsid w:val="43D50C95"/>
    <w:rsid w:val="45A55229"/>
    <w:rsid w:val="483C2D8B"/>
    <w:rsid w:val="4B903520"/>
    <w:rsid w:val="4BB308C1"/>
    <w:rsid w:val="4E0F4C02"/>
    <w:rsid w:val="4E383AE3"/>
    <w:rsid w:val="52971E0E"/>
    <w:rsid w:val="590457C9"/>
    <w:rsid w:val="598F0AD6"/>
    <w:rsid w:val="59CE3A9E"/>
    <w:rsid w:val="5AA7442B"/>
    <w:rsid w:val="5B9357A2"/>
    <w:rsid w:val="5E6F16E3"/>
    <w:rsid w:val="5EAB2081"/>
    <w:rsid w:val="64D45273"/>
    <w:rsid w:val="64EA095A"/>
    <w:rsid w:val="65CD2AC1"/>
    <w:rsid w:val="6A7946BD"/>
    <w:rsid w:val="6C6F4BF4"/>
    <w:rsid w:val="6E7F1324"/>
    <w:rsid w:val="6FD9791C"/>
    <w:rsid w:val="70AF0F36"/>
    <w:rsid w:val="74BA74EE"/>
    <w:rsid w:val="78311EDF"/>
    <w:rsid w:val="78591452"/>
    <w:rsid w:val="78646412"/>
    <w:rsid w:val="787A7FB2"/>
    <w:rsid w:val="78E96359"/>
    <w:rsid w:val="7AD548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6"/>
    <w:qFormat/>
    <w:uiPriority w:val="0"/>
    <w:pPr>
      <w:spacing w:beforeAutospacing="1" w:afterAutospacing="1"/>
      <w:jc w:val="left"/>
      <w:outlineLvl w:val="0"/>
    </w:pPr>
    <w:rPr>
      <w:rFonts w:hint="eastAsia" w:ascii="宋体" w:hAnsi="宋体" w:eastAsia="黑体" w:cs="Times New Roman"/>
      <w:b/>
      <w:bCs/>
      <w:color w:val="000000" w:themeColor="text1"/>
      <w:szCs w:val="48"/>
      <w14:textFill>
        <w14:solidFill>
          <w14:schemeClr w14:val="tx1"/>
        </w14:solidFill>
      </w14:textFill>
    </w:rPr>
  </w:style>
  <w:style w:type="paragraph" w:styleId="3">
    <w:name w:val="heading 2"/>
    <w:basedOn w:val="1"/>
    <w:next w:val="1"/>
    <w:link w:val="17"/>
    <w:unhideWhenUsed/>
    <w:qFormat/>
    <w:uiPriority w:val="0"/>
    <w:pPr>
      <w:keepNext/>
      <w:keepLines/>
      <w:spacing w:before="200" w:after="200"/>
      <w:outlineLvl w:val="1"/>
    </w:pPr>
    <w:rPr>
      <w:rFonts w:ascii="仿宋" w:hAnsi="仿宋" w:eastAsia="黑体" w:cs="仿宋"/>
      <w:b/>
      <w:bCs/>
      <w:color w:val="000000" w:themeColor="text1"/>
      <w:lang w:eastAsia="en-US"/>
      <w14:textFill>
        <w14:solidFill>
          <w14:schemeClr w14:val="tx1"/>
        </w14:solidFill>
      </w14:textFill>
    </w:rPr>
  </w:style>
  <w:style w:type="paragraph" w:styleId="4">
    <w:name w:val="heading 3"/>
    <w:basedOn w:val="1"/>
    <w:next w:val="1"/>
    <w:link w:val="18"/>
    <w:semiHidden/>
    <w:unhideWhenUsed/>
    <w:qFormat/>
    <w:uiPriority w:val="0"/>
    <w:pPr>
      <w:keepNext/>
      <w:keepLines/>
      <w:spacing w:before="200" w:after="200"/>
      <w:outlineLvl w:val="2"/>
    </w:pPr>
    <w:rPr>
      <w:rFonts w:eastAsia="仿宋" w:asciiTheme="majorHAnsi" w:hAnsiTheme="majorHAnsi" w:cstheme="majorBidi"/>
      <w:b/>
      <w:bCs/>
      <w:color w:val="000000" w:themeColor="text1"/>
      <w:sz w:val="24"/>
      <w:lang w:eastAsia="en-US"/>
      <w14:textFill>
        <w14:solidFill>
          <w14:schemeClr w14:val="tx1"/>
        </w14:solidFill>
      </w14:textFill>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Indent"/>
    <w:basedOn w:val="1"/>
    <w:qFormat/>
    <w:uiPriority w:val="0"/>
    <w:pPr>
      <w:spacing w:line="400" w:lineRule="exact"/>
      <w:ind w:firstLine="480" w:firstLineChars="200"/>
    </w:pPr>
    <w:rPr>
      <w:rFonts w:ascii="Times New Roman" w:hAnsi="Times New Roman" w:eastAsia="宋体" w:cs="Times New Roman"/>
      <w:sz w:val="24"/>
    </w:rPr>
  </w:style>
  <w:style w:type="paragraph" w:styleId="7">
    <w:name w:val="Balloon Text"/>
    <w:basedOn w:val="1"/>
    <w:link w:val="21"/>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unhideWhenUsed/>
    <w:uiPriority w:val="99"/>
    <w:rPr>
      <w:color w:val="0563C1" w:themeColor="hyperlink"/>
      <w:u w:val="single"/>
      <w14:textFill>
        <w14:solidFill>
          <w14:schemeClr w14:val="hlink"/>
        </w14:solidFill>
      </w14:textFill>
    </w:rPr>
  </w:style>
  <w:style w:type="character" w:styleId="15">
    <w:name w:val="annotation reference"/>
    <w:basedOn w:val="13"/>
    <w:qFormat/>
    <w:uiPriority w:val="0"/>
    <w:rPr>
      <w:sz w:val="21"/>
      <w:szCs w:val="21"/>
    </w:rPr>
  </w:style>
  <w:style w:type="character" w:customStyle="1" w:styleId="16">
    <w:name w:val="标题 1 Char"/>
    <w:basedOn w:val="13"/>
    <w:link w:val="2"/>
    <w:qFormat/>
    <w:uiPriority w:val="9"/>
    <w:rPr>
      <w:rFonts w:ascii="宋体" w:hAnsi="宋体" w:eastAsia="黑体" w:cs="仿宋"/>
      <w:b/>
      <w:bCs/>
      <w:color w:val="000000" w:themeColor="text1"/>
      <w:sz w:val="21"/>
      <w:szCs w:val="32"/>
      <w:lang w:val="en-US" w:eastAsia="en-US"/>
      <w14:textFill>
        <w14:solidFill>
          <w14:schemeClr w14:val="tx1"/>
        </w14:solidFill>
      </w14:textFill>
    </w:rPr>
  </w:style>
  <w:style w:type="character" w:customStyle="1" w:styleId="17">
    <w:name w:val="标题 2 Char"/>
    <w:basedOn w:val="13"/>
    <w:link w:val="3"/>
    <w:qFormat/>
    <w:uiPriority w:val="9"/>
    <w:rPr>
      <w:rFonts w:ascii="仿宋" w:hAnsi="仿宋" w:eastAsia="黑体" w:cs="仿宋"/>
      <w:b/>
      <w:bCs/>
      <w:color w:val="000000" w:themeColor="text1"/>
      <w:sz w:val="21"/>
      <w:szCs w:val="24"/>
      <w:lang w:val="en-US" w:eastAsia="en-US"/>
      <w14:textFill>
        <w14:solidFill>
          <w14:schemeClr w14:val="tx1"/>
        </w14:solidFill>
      </w14:textFill>
    </w:rPr>
  </w:style>
  <w:style w:type="character" w:customStyle="1" w:styleId="18">
    <w:name w:val="标题 3 Char"/>
    <w:basedOn w:val="13"/>
    <w:link w:val="4"/>
    <w:qFormat/>
    <w:uiPriority w:val="9"/>
    <w:rPr>
      <w:rFonts w:eastAsia="仿宋" w:asciiTheme="majorHAnsi" w:hAnsiTheme="majorHAnsi" w:cstheme="majorBidi"/>
      <w:b/>
      <w:bCs/>
      <w:color w:val="000000" w:themeColor="text1"/>
      <w:sz w:val="24"/>
      <w:lang w:val="en-US" w:eastAsia="en-US"/>
      <w14:textFill>
        <w14:solidFill>
          <w14:schemeClr w14:val="tx1"/>
        </w14:solidFill>
      </w14:textFill>
    </w:rPr>
  </w:style>
  <w:style w:type="paragraph" w:styleId="19">
    <w:name w:val="List Paragraph"/>
    <w:basedOn w:val="1"/>
    <w:qFormat/>
    <w:uiPriority w:val="34"/>
    <w:pPr>
      <w:ind w:firstLine="420" w:firstLineChars="200"/>
    </w:pPr>
  </w:style>
  <w:style w:type="paragraph" w:customStyle="1" w:styleId="20">
    <w:name w:val="WPSOffice手动目录 1"/>
    <w:qFormat/>
    <w:uiPriority w:val="0"/>
    <w:rPr>
      <w:rFonts w:ascii="Times New Roman" w:hAnsi="Times New Roman" w:eastAsia="宋体" w:cs="Times New Roman"/>
      <w:lang w:val="en-US" w:eastAsia="zh-CN" w:bidi="ar-SA"/>
    </w:rPr>
  </w:style>
  <w:style w:type="character" w:customStyle="1" w:styleId="21">
    <w:name w:val="批注框文本 Char"/>
    <w:basedOn w:val="13"/>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AAB3DC-876B-4167-AA76-D84073B1A79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586</Words>
  <Characters>3343</Characters>
  <Lines>27</Lines>
  <Paragraphs>7</Paragraphs>
  <TotalTime>5</TotalTime>
  <ScaleCrop>false</ScaleCrop>
  <LinksUpToDate>false</LinksUpToDate>
  <CharactersWithSpaces>3922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2022-04-23T05:36:00Z</dcterms:created>
  <dc:creator>万子义</dc:creator>
  <cp:lastModifiedBy>雨红</cp:lastModifiedBy>
  <dcterms:modified xsi:type="dcterms:W3CDTF">2022-04-24T06:34:29Z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E227ABB587BB48458537056F3DA9B952</vt:lpwstr>
  </property>
</Properties>
</file>