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《全降解镁合金药物洗脱支架毒代动力学试验方法》编制说明</w:t>
      </w:r>
    </w:p>
    <w:p>
      <w:pPr>
        <w:pStyle w:val="2"/>
        <w:rPr>
          <w:lang w:eastAsia="zh-CN"/>
        </w:rPr>
      </w:pPr>
      <w:r>
        <w:rPr>
          <w:rFonts w:hint="eastAsia"/>
          <w:lang w:eastAsia="zh-CN"/>
        </w:rPr>
        <w:t>一、工作简况</w:t>
      </w:r>
    </w:p>
    <w:p>
      <w:pPr>
        <w:pStyle w:val="3"/>
        <w:rPr>
          <w:lang w:eastAsia="zh-CN"/>
        </w:rPr>
      </w:pPr>
      <w:r>
        <w:rPr>
          <w:rFonts w:hint="eastAsia"/>
          <w:lang w:eastAsia="zh-CN"/>
        </w:rPr>
        <w:t>1.1 任务来源</w:t>
      </w:r>
    </w:p>
    <w:p>
      <w:pPr>
        <w:ind w:firstLine="420" w:firstLineChars="200"/>
      </w:pPr>
      <w:r>
        <w:rPr>
          <w:rFonts w:hint="eastAsia"/>
        </w:rPr>
        <w:t>全降解镁合金药物洗脱支架（以下简称镁合金支架）以激光雕刻的镁合金管为平台，平台上涂有药物，</w:t>
      </w:r>
      <w:r>
        <w:t>旨在</w:t>
      </w:r>
      <w:r>
        <w:rPr>
          <w:rFonts w:hint="eastAsia"/>
        </w:rPr>
        <w:t>通过介入方法达到</w:t>
      </w:r>
      <w:r>
        <w:t>血管症状性狭窄处短期内提供支撑和抗再狭窄，待相应部位血管功能恢复后完全降解被人体吸收。其体外降解试验方法用于产品开发及产品控制时了解其基础降解性能</w:t>
      </w:r>
      <w:r>
        <w:rPr>
          <w:rFonts w:hint="eastAsia"/>
        </w:rPr>
        <w:t>。</w:t>
      </w:r>
    </w:p>
    <w:p>
      <w:pPr>
        <w:ind w:firstLine="420" w:firstLineChars="200"/>
      </w:pPr>
      <w:r>
        <w:rPr>
          <w:rFonts w:hint="eastAsia"/>
        </w:rPr>
        <w:t>本标准的制定计划由上海美港沣沅医疗器械有限公司提出，经中国生物材料学会批准，正式列入中国生物材料学会团体标准修订计划。</w:t>
      </w:r>
    </w:p>
    <w:p>
      <w:pPr>
        <w:pStyle w:val="3"/>
        <w:rPr>
          <w:lang w:eastAsia="zh-CN"/>
        </w:rPr>
      </w:pPr>
      <w:r>
        <w:rPr>
          <w:rFonts w:hint="eastAsia"/>
          <w:lang w:eastAsia="zh-CN"/>
        </w:rPr>
        <w:t>1.2 起草工作组单位</w:t>
      </w:r>
    </w:p>
    <w:p>
      <w:r>
        <w:t xml:space="preserve">1.2.1 </w:t>
      </w:r>
      <w:r>
        <w:rPr>
          <w:rFonts w:hint="eastAsia"/>
        </w:rPr>
        <w:t>上海美港沣沅医疗器械有限公司</w:t>
      </w:r>
    </w:p>
    <w:p>
      <w:pPr>
        <w:ind w:firstLine="420" w:firstLineChars="200"/>
      </w:pPr>
      <w:r>
        <w:rPr>
          <w:rFonts w:hint="eastAsia"/>
        </w:rPr>
        <w:t>上海美港沣沅医疗器械有限公司，成立于2015年6月，注册资金8000万元，是一家由国内资深专家学者、海归人员、国内外投资企业共同成立，主要从事冠脉介入医疗器械的研发、生产、销售，是一家高起点、高新技术的新兴企业。公司与多所国内知名医疗科研机构及著名学者建立了研发联盟，拥有国内、国际多项自主研发的专利技术。针对冠脉介入的临床需求，首批开发的创新产品（国际上也仅有一家完成研发），可被组织完全吸收，无残留，对组织无任何毒副作用，可在同一病变处多次介入干预，显著减少病人痛苦，将填补国内空白，具有巨大的发展空间。公司致力于可降解金属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pPr>
        <w:rPr>
          <w:rFonts w:hint="eastAsia"/>
        </w:rPr>
      </w:pPr>
      <w:r>
        <w:t xml:space="preserve">1.2.2 </w:t>
      </w:r>
      <w:r>
        <w:rPr>
          <w:rFonts w:hint="eastAsia"/>
        </w:rPr>
        <w:t>中国食品药品检定研究院</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中国食品药品检定研究院（以下简称中检院）的前身是1950年成立的中央人民政府卫生部药物食品检验所和生物制品检定所。1961年,两所合并为卫生部药品生物制品检定所。1998年,由卫生部成建制划转为国家药品监督管理局直属事业单位。2010年，经中央编办批准更名为中国食品药品检定研究院，加挂国家食品药品监督管理局医疗器械标准管理中心的牌子，对外使用“中国药品检验总所”的名称。2018年，根据中央编办关于国家药品监督管理局所属事业单位机构编制的批复，中检院（国家药品监督管理局医疗器械标准管理中心，中国药品检验总所）为国家药品监督管理局所属公益二类事业单位。中检院是国家检验药品生物制品质量的法定机构和最高技术仲裁机构，主要承担食品、药品、医疗器械、化妆品及有关药用辅料、包装材料与容器（以下统称为食品药品）的检验检测工作，组织开展药品、医疗器械、化妆品抽验和质量分析工作，负责相关复验、技术仲裁，组织开展进口药品注册检验以及上市后有关数据收集分析等工作；承担药品、医疗器械、化妆品质量标准、技术规范、技术要求、检验检测方法的制修订以及技术复核工作，组织开展检验检测新技术新方法新标准研究，承担相关产品严重不良反应、严重不良事件原因的实验研究工作；负责医疗器械标准管理相关工作；承担生物制品批签发相关工作；承担化妆品安全技术评价工作；组织开展有关国家标准物质的规划、计划、研究、制备、标定、分发和管理工作；负责生产用菌毒种、细胞株的检定工作，承担医用标准菌毒种、细胞株的收集、鉴定、保存、分发和管理工作；承担实验动物饲育、保种、供应和实验动物及相关产品的质量检测工作；承担食品药品检验检测机构实验室间比对以及能力验证、考核与评价等技术工作；负责研究生教育培养工作,组织开展对食品药品相关单位质量检验检测工作的培训和技术指导。</w:t>
      </w:r>
    </w:p>
    <w:p>
      <w:pPr>
        <w:rPr>
          <w:rFonts w:ascii="宋体" w:hAnsi="宋体" w:eastAsia="宋体" w:cs="宋体"/>
        </w:rPr>
      </w:pPr>
      <w:r>
        <w:rPr>
          <w:rFonts w:ascii="宋体" w:hAnsi="宋体" w:eastAsia="宋体" w:cs="宋体"/>
        </w:rPr>
        <w:t>1.2.3</w:t>
      </w:r>
      <w:r>
        <w:rPr>
          <w:rFonts w:hint="eastAsia" w:ascii="宋体" w:hAnsi="宋体" w:eastAsia="宋体" w:cs="宋体"/>
        </w:rPr>
        <w:t>国家北京药物安全评价研究中心</w:t>
      </w:r>
    </w:p>
    <w:p>
      <w:pPr>
        <w:ind w:firstLine="420" w:firstLineChars="200"/>
        <w:rPr>
          <w:rFonts w:ascii="宋体" w:hAnsi="宋体" w:eastAsia="宋体" w:cs="宋体"/>
        </w:rPr>
      </w:pPr>
      <w:r>
        <w:rPr>
          <w:rFonts w:hint="eastAsia" w:ascii="宋体" w:hAnsi="宋体" w:eastAsia="宋体" w:cs="宋体"/>
        </w:rPr>
        <w:t>国家北京药物安全评价研究中心，原为国防工业毒理研究室，建于20世纪60年代，主要从事毒理学研究，完成了多项国防科研攻关项目。1985年，国家《新药评审办法》颁布后，即开展了新药的安全全性评价研究，是国内开展该项工作最早的实验室之一。目前，中心依托军事医学科学院强大的科研实力，是国家较早建立的毒理学学科硕士和博士学位授予单位，也是公共卫生与预防医学博士后流动站。中心制定了一套完整的标准操作规程，是中心药物安全评价研究工作中所有具体操作的行为规范，是准确、科学、高效的进行安评工作的保证。目前，中心完成了2150多种新药的安全性评价研究，其种类包括化学合成药物、中药、生物工程产品等；获得各类科研成果30余项，其中军队科技进步二等奖以上成果21项；发表论文400余篇；主编和参编专著20余部。</w:t>
      </w:r>
    </w:p>
    <w:p>
      <w:pPr>
        <w:rPr>
          <w:rFonts w:ascii="宋体" w:hAnsi="宋体" w:eastAsia="宋体" w:cs="宋体"/>
        </w:rPr>
      </w:pPr>
      <w:r>
        <w:rPr>
          <w:rFonts w:ascii="宋体" w:hAnsi="宋体" w:eastAsia="宋体" w:cs="宋体"/>
        </w:rPr>
        <w:t>1.2.4上海生物材料</w:t>
      </w:r>
      <w:r>
        <w:rPr>
          <w:rFonts w:hint="eastAsia" w:ascii="宋体" w:hAnsi="宋体" w:eastAsia="宋体" w:cs="宋体"/>
        </w:rPr>
        <w:t>研究测试中心</w:t>
      </w:r>
    </w:p>
    <w:p>
      <w:pPr>
        <w:ind w:firstLine="420" w:firstLineChars="200"/>
      </w:pPr>
      <w:r>
        <w:rPr>
          <w:rFonts w:hint="eastAsia"/>
        </w:rPr>
        <w:t>上海生物材料研究测试中心成立于1989年6月，重点开展医疗器械和生物材料的生物相容性研究、测试、评价及其标准化研究工作。中心是国内最早创建生物材料生物学评价检测方法的机构之一。目前中心是中国生物医学工程学会生物材料分会的副主任委员、中华口腔医学会口腔材料专业委员会前任主任委员以及上海市生物医学工程学会生物材料专业委员会主任委员单位，也是全国计划生育器械标准化技术委员会主任委员、全国医疗器械生物学评价标准化技术委员会和全国口腔材料、器械设备标准化技术委员会的委员单位。中心已经获得国家食品药品监督管理局（CFDA）资格认可、中国合格评定国家认可委员会(CNAS)的实验室认可以及质量技术监督局的计量认证（CMA），达到了ISO/IEC 17025《检测和校准实验室能力的通用要求》的标准要求，在医疗器械（包括口腔器材）和生物（口腔）材料生物学评价领域，具有与ISO同步的检测能力，曾先后对Ⅰ类、Ⅱ类和Ⅲ类2000余种国内外医疗器械产品进行了5000余项生物学评价试验。中心占地使用面积约为670平方米，包括动物实验室（含手术室和观察室）、万级洁净室、毒理学实验室、血液相容性实验室、免疫学实验室、组织病理实验室、遗传毒性实验室、生物降解实验室、仪器分析室以及分子生物学实验室等，另外，中心具有符合国家标准的SPF级动物实验室。目前，中心已搭建了为国内外各类客户提供检测和咨询服务的平台。围绕医疗器械（包括口腔器材）和生物（口腔）材料的生物相容性问题，中心先后完成了60余项科研项目，负责承担了国家“863”、国家自然基金、教育部、卫生部和上海市等科研项目20多项，荣获相关科技成果奖10余项，申请或获得国家发明专利数项，发表论著200余篇。</w:t>
      </w:r>
    </w:p>
    <w:p>
      <w:pPr>
        <w:rPr>
          <w:rFonts w:ascii="宋体" w:hAnsi="宋体" w:eastAsia="宋体" w:cs="宋体"/>
        </w:rPr>
      </w:pPr>
      <w:r>
        <w:rPr>
          <w:rFonts w:hint="eastAsia" w:ascii="宋体" w:hAnsi="宋体" w:eastAsia="宋体" w:cs="宋体"/>
        </w:rPr>
        <w:t>1</w:t>
      </w:r>
      <w:r>
        <w:rPr>
          <w:rFonts w:ascii="宋体" w:hAnsi="宋体" w:eastAsia="宋体" w:cs="宋体"/>
        </w:rPr>
        <w:t>.2.5 北京大学</w:t>
      </w:r>
    </w:p>
    <w:p>
      <w:pPr>
        <w:ind w:firstLine="420" w:firstLineChars="200"/>
        <w:rPr>
          <w:rFonts w:ascii="宋体" w:hAnsi="宋体" w:eastAsia="宋体" w:cs="宋体"/>
        </w:rPr>
      </w:pPr>
      <w:r>
        <w:rPr>
          <w:rFonts w:hint="eastAsia"/>
        </w:rPr>
        <w:t>北京大学是中华人民共和国教育部直属的全国重点大学，位列“双一流”、“211工程”、“985工程”高校。北京大学拥有31个国家级研究机构、93个省部级研究机构和19个校地校企共建机构。学校现教职工16073人，29617名各类在校学生。现有199个博士点、221个硕士点、100个本科专业，以及覆盖139个专业的35个博士后流动站。北京大学拥有的教授、博士生导师、中科院院士及国家重点学科和国家重点实验室的数量均居全国高校之首。由郑玉峰教授自2004年发起和领导的北京大学工程学院生物医学材料与设备实验室是一个跨学科的研究小组，在生物医学材料及其在牙科、骨科和介入治疗领域的应用方面有着深入且广泛的研究。</w:t>
      </w:r>
    </w:p>
    <w:p>
      <w:pPr>
        <w:pStyle w:val="3"/>
        <w:rPr>
          <w:lang w:eastAsia="zh-CN"/>
        </w:rPr>
      </w:pPr>
      <w:r>
        <w:rPr>
          <w:rFonts w:hint="eastAsia"/>
          <w:lang w:eastAsia="zh-CN"/>
        </w:rPr>
        <w:t>1.3 主要工作过程</w:t>
      </w:r>
    </w:p>
    <w:p>
      <w:pPr>
        <w:ind w:firstLine="420" w:firstLineChars="200"/>
      </w:pPr>
      <w:r>
        <w:rPr>
          <w:rFonts w:hint="eastAsia"/>
        </w:rPr>
        <w:t>1.3.1  2019年7月23日，由上海美港沣沅医疗器械有限公司提出本标准的制定及立项需求。2019年9月19日经中国生物材料学会标委会评审一致通过同意立项申请。上海美港沣沅医疗器械有限公司承担本标准的主要起草任务，并联合</w:t>
      </w:r>
      <w:r>
        <w:rPr>
          <w:rFonts w:hint="eastAsia" w:ascii="宋体" w:hAnsi="宋体" w:eastAsia="宋体" w:cs="宋体"/>
        </w:rPr>
        <w:t>中国食品药品检定研究院、国家北京药物安全评价研究中心、北京大学、上海生物材料研究测试中心</w:t>
      </w:r>
      <w:r>
        <w:rPr>
          <w:rFonts w:hint="eastAsia"/>
        </w:rPr>
        <w:t>成立标准起草组开始标准起草工作，开展标准调研、资料收集、标准草案稿编写。</w:t>
      </w:r>
    </w:p>
    <w:p>
      <w:pPr>
        <w:ind w:firstLine="420" w:firstLineChars="200"/>
      </w:pPr>
      <w:r>
        <w:rPr>
          <w:rFonts w:hint="eastAsia"/>
        </w:rPr>
        <w:t xml:space="preserve">1.3.2  </w:t>
      </w:r>
      <w:r>
        <w:t>2020</w:t>
      </w:r>
      <w:r>
        <w:rPr>
          <w:rFonts w:hint="eastAsia"/>
        </w:rPr>
        <w:t>年3月，标准起草组在调研资料的基础上确定了标准的主要内容，形成标准草案。</w:t>
      </w:r>
    </w:p>
    <w:p>
      <w:pPr>
        <w:ind w:firstLine="420" w:firstLineChars="200"/>
      </w:pPr>
      <w:r>
        <w:rPr>
          <w:rFonts w:hint="eastAsia"/>
        </w:rPr>
        <w:t>1</w:t>
      </w:r>
      <w:r>
        <w:t>.3.3 2021年</w:t>
      </w:r>
      <w:r>
        <w:rPr>
          <w:rFonts w:hint="eastAsia"/>
        </w:rPr>
        <w:t>1</w:t>
      </w:r>
      <w:r>
        <w:t>2月完成标准验证工作并编写完成征求意见材料</w:t>
      </w:r>
      <w:r>
        <w:rPr>
          <w:rFonts w:hint="eastAsia"/>
        </w:rPr>
        <w:t>。</w:t>
      </w:r>
    </w:p>
    <w:p>
      <w:pPr>
        <w:pStyle w:val="3"/>
        <w:rPr>
          <w:lang w:eastAsia="zh-CN"/>
        </w:rPr>
      </w:pPr>
      <w:r>
        <w:rPr>
          <w:rFonts w:hint="eastAsia"/>
          <w:lang w:eastAsia="zh-CN"/>
        </w:rPr>
        <w:t>1.4 团体标准主要起草人及其所做的工作</w:t>
      </w:r>
    </w:p>
    <w:p>
      <w:pPr>
        <w:ind w:firstLine="420" w:firstLineChars="200"/>
      </w:pPr>
      <w:r>
        <w:rPr>
          <w:rFonts w:hint="eastAsia"/>
        </w:rPr>
        <w:t>本标准的主要起草人上海美港沣沅医疗器械有限公司奚廷斐为标准制定小组组长，负责标准起草小组会议召集，工作计划制定，调研工作组织实施，综合研究及具体任务分解，主要起草人</w:t>
      </w:r>
      <w:r>
        <w:rPr>
          <w:rFonts w:hint="eastAsia" w:ascii="宋体" w:hAnsi="宋体" w:eastAsia="宋体" w:cs="宋体"/>
        </w:rPr>
        <w:t>魏利娜负责标准的编写工作，主要起草人国家北京药物安全评价研究中心关勇彪、上海生物材料研究测试中心孙皎负责标准的验证工作，主要起草人</w:t>
      </w:r>
      <w:r>
        <w:rPr>
          <w:rFonts w:hint="eastAsia"/>
        </w:rPr>
        <w:t>上海美港沣沅医疗器械有限公司万子义、北京大学成艳负责资料收集整理及标准修订工作。</w:t>
      </w:r>
    </w:p>
    <w:p>
      <w:pPr>
        <w:pStyle w:val="2"/>
        <w:rPr>
          <w:lang w:eastAsia="zh-CN"/>
        </w:rPr>
      </w:pPr>
      <w:r>
        <w:rPr>
          <w:rFonts w:hint="eastAsia"/>
          <w:lang w:eastAsia="zh-CN"/>
        </w:rPr>
        <w:t>二、确定学会团体标准主要技术内容（如技术指标、参数等）的论据（包括试验、统计数据）。</w:t>
      </w:r>
    </w:p>
    <w:p>
      <w:pPr>
        <w:pStyle w:val="3"/>
        <w:rPr>
          <w:lang w:eastAsia="zh-CN"/>
        </w:rPr>
      </w:pPr>
      <w:r>
        <w:rPr>
          <w:rFonts w:hint="eastAsia"/>
          <w:lang w:eastAsia="zh-CN"/>
        </w:rPr>
        <w:t>1. 标准结构</w:t>
      </w:r>
    </w:p>
    <w:p>
      <w:pPr>
        <w:ind w:firstLine="420" w:firstLineChars="200"/>
      </w:pPr>
      <w:r>
        <w:rPr>
          <w:rFonts w:hint="eastAsia"/>
        </w:rPr>
        <w:t>主要包括前言、范围、规范性引用文件、术语和定义、符号与缩略语、实验动物、试验步骤、试验报告等几个部分。</w:t>
      </w:r>
    </w:p>
    <w:p>
      <w:pPr>
        <w:pStyle w:val="3"/>
        <w:rPr>
          <w:lang w:eastAsia="zh-CN"/>
        </w:rPr>
      </w:pPr>
      <w:r>
        <w:rPr>
          <w:rFonts w:hint="eastAsia"/>
          <w:lang w:eastAsia="zh-CN"/>
        </w:rPr>
        <w:t>2. 主要内容</w:t>
      </w:r>
    </w:p>
    <w:p>
      <w:pPr>
        <w:ind w:firstLine="420" w:firstLineChars="200"/>
      </w:pPr>
      <w:r>
        <w:rPr>
          <w:rFonts w:hint="eastAsia"/>
        </w:rPr>
        <w:t>本标准规定的主要内容有：实验动物种属和要求、给入途径及给入量、血液样品采集及样品处理保存、血浆中元素浓度检测等。</w:t>
      </w:r>
    </w:p>
    <w:p>
      <w:pPr>
        <w:pStyle w:val="4"/>
        <w:rPr>
          <w:lang w:eastAsia="zh-CN"/>
        </w:rPr>
      </w:pPr>
      <w:r>
        <w:rPr>
          <w:rFonts w:hint="eastAsia"/>
          <w:lang w:eastAsia="zh-CN"/>
        </w:rPr>
        <w:t>2.1 实验动物种属和要求</w:t>
      </w:r>
    </w:p>
    <w:p>
      <w:pPr>
        <w:ind w:firstLine="420" w:firstLineChars="200"/>
      </w:pPr>
      <w:r>
        <w:rPr>
          <w:rFonts w:hint="eastAsia"/>
        </w:rPr>
        <w:t>由于血管尺寸、解剖学特征、新生内膜生长与人体冠状动脉相近，猪模型已经广泛应用于冠状动脉药物洗脱支架的研究。同时考虑到实验周期较长，避免猪血管尺寸随动物生长变化过大，本标准中推荐小型猪进行研究。</w:t>
      </w:r>
    </w:p>
    <w:p>
      <w:pPr>
        <w:pStyle w:val="4"/>
        <w:rPr>
          <w:lang w:eastAsia="zh-CN"/>
        </w:rPr>
      </w:pPr>
      <w:r>
        <w:rPr>
          <w:rFonts w:hint="eastAsia"/>
          <w:lang w:eastAsia="zh-CN"/>
        </w:rPr>
        <w:t>2.2 给入途径及给入量</w:t>
      </w:r>
    </w:p>
    <w:p>
      <w:pPr>
        <w:ind w:firstLine="420" w:firstLineChars="200"/>
      </w:pPr>
      <w:r>
        <w:rPr>
          <w:rFonts w:hint="eastAsia"/>
        </w:rPr>
        <w:t>本标准推荐将镁合金支架植入到实验动物的冠状动脉中，即原位植入，与临床使用一致，可以更好地评价镁合金支架在动物体内的毒代动力学。</w:t>
      </w:r>
    </w:p>
    <w:p>
      <w:pPr>
        <w:pStyle w:val="4"/>
        <w:rPr>
          <w:lang w:eastAsia="zh-CN"/>
        </w:rPr>
      </w:pPr>
      <w:r>
        <w:rPr>
          <w:rFonts w:hint="eastAsia"/>
          <w:lang w:eastAsia="zh-CN"/>
        </w:rPr>
        <w:t>2.3 血液样品采集及样品处理保存</w:t>
      </w:r>
    </w:p>
    <w:p>
      <w:pPr>
        <w:ind w:firstLine="420" w:firstLineChars="200"/>
      </w:pPr>
      <w:r>
        <w:rPr>
          <w:rFonts w:hint="eastAsia"/>
        </w:rPr>
        <w:t>关键是采样时间点，</w:t>
      </w:r>
      <w:r>
        <w:rPr>
          <w:rFonts w:hint="eastAsia" w:ascii="宋体" w:hAnsi="宋体" w:eastAsia="宋体"/>
        </w:rPr>
        <w:t>要测定动力学参数，宜测取足够多的时间点，各时间点间隔要合适。理论上数据点宜覆盖整个半衰期，同时结合镁合金支架在体内降解情况设定采样时间点，推荐以下采样时间点：D.1、D.17、D.31、D.59、D.94、D.122、D.150、D.185、D.213、D.241、D.276、D</w:t>
      </w:r>
      <w:r>
        <w:rPr>
          <w:rFonts w:ascii="宋体" w:hAnsi="宋体" w:eastAsia="宋体"/>
        </w:rPr>
        <w:t>.365</w:t>
      </w:r>
      <w:r>
        <w:rPr>
          <w:rFonts w:hint="eastAsia" w:ascii="宋体" w:hAnsi="宋体" w:eastAsia="宋体"/>
        </w:rPr>
        <w:t>。</w:t>
      </w:r>
    </w:p>
    <w:p>
      <w:pPr>
        <w:pStyle w:val="4"/>
        <w:rPr>
          <w:lang w:eastAsia="zh-CN"/>
        </w:rPr>
      </w:pPr>
      <w:r>
        <w:rPr>
          <w:rFonts w:hint="eastAsia"/>
          <w:lang w:eastAsia="zh-CN"/>
        </w:rPr>
        <w:t>2.4 血浆中元素浓度检测</w:t>
      </w:r>
    </w:p>
    <w:p>
      <w:pPr>
        <w:ind w:firstLine="420" w:firstLineChars="200"/>
      </w:pPr>
      <w:r>
        <w:rPr>
          <w:rFonts w:hint="eastAsia"/>
        </w:rPr>
        <w:t>电感耦合等离子体质谱（ICP-MS）主要用途是进行化学元素分析检测，特别是对金属元素分析最擅长。本标准规定</w:t>
      </w:r>
      <w:r>
        <w:rPr>
          <w:rFonts w:hint="eastAsia" w:ascii="宋体" w:hAnsi="宋体" w:eastAsia="宋体"/>
        </w:rPr>
        <w:t>采用ICP</w:t>
      </w:r>
      <w:r>
        <w:rPr>
          <w:rFonts w:ascii="宋体" w:hAnsi="宋体" w:eastAsia="宋体"/>
        </w:rPr>
        <w:t>-</w:t>
      </w:r>
      <w:r>
        <w:rPr>
          <w:rFonts w:hint="eastAsia" w:ascii="宋体" w:hAnsi="宋体" w:eastAsia="宋体"/>
        </w:rPr>
        <w:t>MS检测血浆中镁元素及其他合金元素浓度，并给出具体检测步骤和接受标准。</w:t>
      </w:r>
    </w:p>
    <w:p>
      <w:pPr>
        <w:pStyle w:val="2"/>
        <w:rPr>
          <w:lang w:eastAsia="zh-CN"/>
        </w:rPr>
      </w:pPr>
      <w:r>
        <w:rPr>
          <w:rFonts w:hint="eastAsia"/>
          <w:lang w:eastAsia="zh-CN"/>
        </w:rPr>
        <w:t>三、主要试验（验证）的分析、综述报告，技术经济论证，预期的经济效果</w:t>
      </w:r>
    </w:p>
    <w:p>
      <w:r>
        <w:rPr>
          <w:rFonts w:hint="eastAsia"/>
        </w:rPr>
        <w:t>3</w:t>
      </w:r>
      <w:r>
        <w:t>.1 主要试验（验证）的分析和综述报告</w:t>
      </w:r>
    </w:p>
    <w:p>
      <w:pPr>
        <w:ind w:firstLine="420" w:firstLineChars="200"/>
      </w:pPr>
      <w:r>
        <w:t>本标准主要试验（验证）的分析</w:t>
      </w:r>
      <w:r>
        <w:rPr>
          <w:rFonts w:hint="eastAsia"/>
        </w:rPr>
        <w:t>为全降解镁合金药物洗脱支架毒代动力学试验。</w:t>
      </w:r>
    </w:p>
    <w:p>
      <w:pPr>
        <w:ind w:firstLine="420" w:firstLineChars="200"/>
      </w:pPr>
      <w:r>
        <w:t>支架材料</w:t>
      </w:r>
      <w:r>
        <w:rPr>
          <w:rFonts w:hint="eastAsia"/>
        </w:rPr>
        <w:t>：镁锌钇钕合金</w:t>
      </w:r>
    </w:p>
    <w:p>
      <w:pPr>
        <w:ind w:firstLine="420" w:firstLineChars="200"/>
      </w:pPr>
      <w:r>
        <w:t>实验动物：小型猪</w:t>
      </w:r>
    </w:p>
    <w:p>
      <w:pPr>
        <w:ind w:firstLine="420" w:firstLineChars="200"/>
      </w:pPr>
      <w:r>
        <w:t>试验分组：空白对照组、低剂量组、高剂量组、裸支架对照组</w:t>
      </w:r>
    </w:p>
    <w:p>
      <w:pPr>
        <w:ind w:firstLine="420" w:firstLineChars="200"/>
      </w:pPr>
      <w:r>
        <w:t>给药途径：微创介入</w:t>
      </w:r>
    </w:p>
    <w:p>
      <w:pPr>
        <w:ind w:firstLine="420" w:firstLineChars="200"/>
      </w:pPr>
      <w:r>
        <w:rPr>
          <w:rFonts w:hint="eastAsia" w:ascii="宋体" w:hAnsi="宋体" w:eastAsia="宋体"/>
        </w:rPr>
        <w:t>使用</w:t>
      </w:r>
      <w:r>
        <w:rPr>
          <w:rFonts w:hint="eastAsia" w:ascii="宋体" w:hAnsi="宋体" w:eastAsia="宋体" w:cs="宋体"/>
        </w:rPr>
        <w:t>咪达唑仑</w:t>
      </w:r>
      <w:r>
        <w:rPr>
          <w:rFonts w:hint="eastAsia" w:ascii="宋体" w:hAnsi="宋体" w:eastAsia="宋体"/>
        </w:rPr>
        <w:t>和阿托品对小型猪进行诱导麻醉，腹股沟消毒后，以Seldinger法穿刺股动脉，置入6F鞘管。采用戊巴比妥钠进行深度麻醉，用指引导管进行在后前位或左前斜位进行左冠状动脉造影以及右冠状动脉造影，选择前降支、回旋支或右冠状动脉直径与支架尺寸匹配、较平直的血管段为支架植入部位。每只动物根据支架临床使用量及试验分组。植入支架退出球囊后再次造影，确认无严重撕裂和血栓，撤出鞘管，穿刺部位压迫止血10～20分钟，静脉注射</w:t>
      </w:r>
      <w:r>
        <w:rPr>
          <w:rFonts w:hint="eastAsia" w:ascii="宋体" w:hAnsi="宋体" w:eastAsia="宋体" w:cs="宋体"/>
        </w:rPr>
        <w:t>青霉素</w:t>
      </w:r>
      <w:r>
        <w:rPr>
          <w:rFonts w:hint="eastAsia" w:ascii="宋体" w:hAnsi="宋体" w:eastAsia="宋体"/>
        </w:rPr>
        <w:t>160万单位（或其他抗生素）。待动物苏醒后，普通饮食喂养。给予口服氯吡格雷75mg/Qd、阿司匹林100mg/Qd（后期将其剂量调整为60～80mg</w:t>
      </w:r>
      <w:r>
        <w:rPr>
          <w:rFonts w:ascii="宋体" w:hAnsi="宋体" w:eastAsia="宋体"/>
        </w:rPr>
        <w:t>/</w:t>
      </w:r>
      <w:r>
        <w:rPr>
          <w:rFonts w:hint="eastAsia" w:ascii="宋体" w:hAnsi="宋体" w:eastAsia="宋体"/>
        </w:rPr>
        <w:t>Qd），用至术后复查。</w:t>
      </w:r>
    </w:p>
    <w:p>
      <w:pPr>
        <w:ind w:firstLine="420" w:firstLineChars="200"/>
      </w:pPr>
      <w:r>
        <w:t>采样点：D.1</w:t>
      </w:r>
      <w:r>
        <w:rPr>
          <w:rFonts w:hint="eastAsia"/>
        </w:rPr>
        <w:t>、</w:t>
      </w:r>
      <w:r>
        <w:t>D.17</w:t>
      </w:r>
      <w:r>
        <w:rPr>
          <w:rFonts w:hint="eastAsia"/>
        </w:rPr>
        <w:t>、</w:t>
      </w:r>
      <w:r>
        <w:t>D.31</w:t>
      </w:r>
      <w:r>
        <w:rPr>
          <w:rFonts w:hint="eastAsia"/>
        </w:rPr>
        <w:t>、</w:t>
      </w:r>
      <w:r>
        <w:t>D.59</w:t>
      </w:r>
      <w:r>
        <w:rPr>
          <w:rFonts w:hint="eastAsia"/>
        </w:rPr>
        <w:t>、</w:t>
      </w:r>
      <w:r>
        <w:t>D.94</w:t>
      </w:r>
      <w:r>
        <w:rPr>
          <w:rFonts w:hint="eastAsia"/>
        </w:rPr>
        <w:t>、</w:t>
      </w:r>
      <w:r>
        <w:t>D.122</w:t>
      </w:r>
      <w:r>
        <w:rPr>
          <w:rFonts w:hint="eastAsia"/>
        </w:rPr>
        <w:t>、</w:t>
      </w:r>
      <w:r>
        <w:t>D.150</w:t>
      </w:r>
      <w:r>
        <w:rPr>
          <w:rFonts w:hint="eastAsia"/>
        </w:rPr>
        <w:t>、</w:t>
      </w:r>
      <w:r>
        <w:t>D.185</w:t>
      </w:r>
      <w:r>
        <w:rPr>
          <w:rFonts w:hint="eastAsia"/>
        </w:rPr>
        <w:t>、</w:t>
      </w:r>
      <w:r>
        <w:t>D.213</w:t>
      </w:r>
      <w:r>
        <w:rPr>
          <w:rFonts w:hint="eastAsia"/>
        </w:rPr>
        <w:t>、</w:t>
      </w:r>
      <w:r>
        <w:t>D.241</w:t>
      </w:r>
      <w:r>
        <w:rPr>
          <w:rFonts w:hint="eastAsia"/>
        </w:rPr>
        <w:t>和</w:t>
      </w:r>
      <w:r>
        <w:t>D.276</w:t>
      </w:r>
    </w:p>
    <w:p>
      <w:pPr>
        <w:ind w:firstLine="420" w:firstLineChars="200"/>
      </w:pPr>
      <w:r>
        <w:t>采样方式：</w:t>
      </w:r>
      <w:r>
        <w:rPr>
          <w:rFonts w:hint="eastAsia"/>
        </w:rPr>
        <w:t>前腔静脉采血</w:t>
      </w:r>
    </w:p>
    <w:p>
      <w:pPr>
        <w:ind w:firstLine="420" w:firstLineChars="200"/>
      </w:pPr>
      <w:r>
        <w:t>分析方法：</w:t>
      </w:r>
      <w:r>
        <w:rPr>
          <w:rFonts w:hint="eastAsia"/>
        </w:rPr>
        <w:t>用</w:t>
      </w:r>
      <w:r>
        <w:t>ICP-MS</w:t>
      </w:r>
      <w:r>
        <w:rPr>
          <w:rFonts w:hint="eastAsia"/>
        </w:rPr>
        <w:t>检测血浆中元素浓度</w:t>
      </w:r>
    </w:p>
    <w:p>
      <w:pPr>
        <w:ind w:firstLine="420" w:firstLineChars="200"/>
        <w:rPr>
          <w:rFonts w:ascii="宋体" w:hAnsi="宋体" w:eastAsia="宋体"/>
        </w:rPr>
      </w:pPr>
      <w:r>
        <w:rPr>
          <w:rFonts w:hint="eastAsia" w:ascii="宋体" w:hAnsi="宋体" w:eastAsia="宋体"/>
        </w:rPr>
        <w:t xml:space="preserve">取小型猪血浆200 </w:t>
      </w:r>
      <w:r>
        <w:rPr>
          <w:rFonts w:ascii="Times New Roman" w:hAnsi="Times New Roman" w:eastAsia="宋体" w:cs="Times New Roman"/>
        </w:rPr>
        <w:t>μ</w:t>
      </w:r>
      <w:r>
        <w:rPr>
          <w:rFonts w:hint="eastAsia" w:ascii="宋体" w:hAnsi="宋体" w:eastAsia="宋体"/>
        </w:rPr>
        <w:t>L置于15</w:t>
      </w:r>
      <w:r>
        <w:rPr>
          <w:rFonts w:ascii="宋体" w:hAnsi="宋体" w:eastAsia="宋体"/>
        </w:rPr>
        <w:t xml:space="preserve"> </w:t>
      </w:r>
      <w:r>
        <w:rPr>
          <w:rFonts w:hint="eastAsia" w:ascii="宋体" w:hAnsi="宋体" w:eastAsia="宋体"/>
        </w:rPr>
        <w:t>mL离心管中，加入4.8</w:t>
      </w:r>
      <w:r>
        <w:rPr>
          <w:rFonts w:ascii="宋体" w:hAnsi="宋体" w:eastAsia="宋体"/>
        </w:rPr>
        <w:t xml:space="preserve"> </w:t>
      </w:r>
      <w:r>
        <w:rPr>
          <w:rFonts w:hint="eastAsia" w:ascii="宋体" w:hAnsi="宋体" w:eastAsia="宋体"/>
        </w:rPr>
        <w:t>mL稀释剂（0.5%</w:t>
      </w:r>
      <w:r>
        <w:rPr>
          <w:rFonts w:ascii="宋体" w:hAnsi="宋体" w:eastAsia="宋体"/>
        </w:rPr>
        <w:t xml:space="preserve"> </w:t>
      </w:r>
      <w:r>
        <w:rPr>
          <w:rFonts w:hint="eastAsia" w:ascii="宋体" w:hAnsi="宋体" w:eastAsia="宋体"/>
        </w:rPr>
        <w:t>硝酸+0.01%曲拉通x-100），混匀，离心15</w:t>
      </w:r>
      <w:r>
        <w:rPr>
          <w:rFonts w:ascii="宋体" w:hAnsi="宋体" w:eastAsia="宋体"/>
        </w:rPr>
        <w:t xml:space="preserve"> </w:t>
      </w:r>
      <w:r>
        <w:rPr>
          <w:rFonts w:hint="eastAsia" w:ascii="宋体" w:hAnsi="宋体" w:eastAsia="宋体"/>
        </w:rPr>
        <w:t>min（4000</w:t>
      </w:r>
      <w:r>
        <w:rPr>
          <w:rFonts w:ascii="宋体" w:hAnsi="宋体" w:eastAsia="宋体"/>
        </w:rPr>
        <w:t xml:space="preserve"> </w:t>
      </w:r>
      <w:r>
        <w:rPr>
          <w:rFonts w:hint="eastAsia" w:ascii="宋体" w:hAnsi="宋体" w:eastAsia="宋体"/>
        </w:rPr>
        <w:t>r/min），上机检测，采用在线加内标的方法进入ICP-MS系统进行定量分析。镁（Mg）质量数为24，对应内标可用锗（Ge）质量数为72。</w:t>
      </w:r>
    </w:p>
    <w:p>
      <w:pPr>
        <w:rPr>
          <w:rFonts w:ascii="宋体" w:hAnsi="宋体" w:eastAsia="宋体"/>
        </w:rPr>
      </w:pPr>
      <w:r>
        <w:rPr>
          <w:rFonts w:ascii="宋体" w:hAnsi="宋体" w:eastAsia="宋体"/>
        </w:rPr>
        <w:t xml:space="preserve">6.3.2 </w:t>
      </w:r>
      <w:r>
        <w:rPr>
          <w:rFonts w:hint="eastAsia" w:ascii="宋体" w:hAnsi="宋体" w:eastAsia="宋体"/>
        </w:rPr>
        <w:t>标准曲线样品的制备</w:t>
      </w:r>
    </w:p>
    <w:p>
      <w:pPr>
        <w:ind w:firstLine="420" w:firstLineChars="200"/>
        <w:rPr>
          <w:rFonts w:ascii="宋体" w:hAnsi="宋体" w:eastAsia="宋体"/>
        </w:rPr>
      </w:pPr>
      <w:r>
        <w:rPr>
          <w:rFonts w:hint="eastAsia" w:ascii="宋体" w:hAnsi="宋体" w:eastAsia="宋体"/>
        </w:rPr>
        <w:t>使用稀释剂（含0.01%曲拉通X-100，0.5%硝酸，均为V/V）将镁的储备液稀释成浓度分别为50，100，250，500，1000，2500，4000，5000ng/mL的镁标准工作液，同时将其他元素的储备液稀释成合适浓度的标准工作液。充分混合均匀后储存于2～8℃冰箱。</w:t>
      </w:r>
    </w:p>
    <w:p>
      <w:pPr>
        <w:ind w:firstLine="420" w:firstLineChars="200"/>
        <w:rPr>
          <w:rFonts w:ascii="宋体" w:hAnsi="宋体" w:eastAsia="宋体"/>
        </w:rPr>
      </w:pPr>
      <w:r>
        <w:rPr>
          <w:rFonts w:hint="eastAsia" w:ascii="宋体" w:hAnsi="宋体" w:eastAsia="宋体"/>
        </w:rPr>
        <w:t>将质控标准工作液用空白猪血浆配制成含镁和其他元素的混合质控品，其中镁的质控浓度推荐按照混合血浆本底值的50%，100%，150%加标制备，充分混合均匀，储存于-20℃冰箱。</w:t>
      </w:r>
    </w:p>
    <w:p>
      <w:pPr>
        <w:ind w:firstLine="420" w:firstLineChars="200"/>
        <w:rPr>
          <w:rFonts w:ascii="宋体" w:hAnsi="宋体" w:eastAsia="宋体"/>
        </w:rPr>
      </w:pPr>
      <w:r>
        <w:rPr>
          <w:rFonts w:ascii="宋体" w:hAnsi="宋体" w:eastAsia="宋体"/>
        </w:rPr>
        <w:t>浓度计算</w:t>
      </w:r>
    </w:p>
    <w:p>
      <w:pPr>
        <w:ind w:firstLine="420" w:firstLineChars="200"/>
        <w:rPr>
          <w:rFonts w:ascii="宋体" w:hAnsi="宋体" w:eastAsia="宋体"/>
        </w:rPr>
      </w:pPr>
      <w:r>
        <w:rPr>
          <w:rFonts w:hint="eastAsia" w:ascii="宋体" w:hAnsi="宋体" w:eastAsia="宋体"/>
        </w:rPr>
        <w:t xml:space="preserve">以待测元素的信号强度为纵坐标(y)，浓度为横坐标(x)，用一次曲线进行线性回归计算待测元素浓度。未知样品中镁和其他元素的浓度计算公式如下： </w:t>
      </w:r>
    </w:p>
    <w:p>
      <w:pPr>
        <w:rPr>
          <w:rFonts w:ascii="宋体" w:hAnsi="宋体" w:eastAsia="宋体"/>
        </w:rPr>
      </w:pPr>
      <m:oMathPara>
        <m:oMath>
          <m:r>
            <m:rPr/>
            <w:rPr>
              <w:rFonts w:ascii="Cambria Math" w:hAnsi="Cambria Math" w:eastAsia="Cambria Math" w:cs="Cambria Math"/>
            </w:rPr>
            <m:t>x</m:t>
          </m:r>
          <m:r>
            <m:rPr>
              <m:sty m:val="p"/>
            </m:rPr>
            <w:rPr>
              <w:rFonts w:ascii="Cambria Math" w:hAnsi="Cambria Math" w:eastAsia="Cambria Math" w:cs="Cambria Math"/>
            </w:rPr>
            <m:t>=</m:t>
          </m:r>
          <m:f>
            <m:fPr>
              <m:ctrlPr>
                <w:rPr>
                  <w:rFonts w:ascii="Cambria Math" w:hAnsi="Cambria Math" w:eastAsia="Cambria Math"/>
                </w:rPr>
              </m:ctrlPr>
            </m:fPr>
            <m:num>
              <m:r>
                <m:rPr>
                  <m:sty m:val="p"/>
                </m:rPr>
                <w:rPr>
                  <w:rFonts w:ascii="Cambria Math" w:hAnsi="Cambria Math" w:eastAsia="Cambria Math" w:cs="Cambria Math"/>
                </w:rPr>
                <m:t>y−b</m:t>
              </m:r>
              <m:ctrlPr>
                <w:rPr>
                  <w:rFonts w:ascii="Cambria Math" w:hAnsi="Cambria Math" w:eastAsia="Cambria Math"/>
                </w:rPr>
              </m:ctrlPr>
            </m:num>
            <m:den>
              <m:r>
                <m:rPr>
                  <m:sty m:val="p"/>
                </m:rPr>
                <w:rPr>
                  <w:rFonts w:ascii="Cambria Math" w:hAnsi="Cambria Math" w:eastAsia="Cambria Math" w:cs="Cambria Math"/>
                </w:rPr>
                <m:t>m</m:t>
              </m:r>
              <m:ctrlPr>
                <w:rPr>
                  <w:rFonts w:ascii="Cambria Math" w:hAnsi="Cambria Math" w:eastAsia="Cambria Math"/>
                </w:rPr>
              </m:ctrlPr>
            </m:den>
          </m:f>
        </m:oMath>
      </m:oMathPara>
    </w:p>
    <w:p>
      <w:pPr>
        <w:ind w:firstLine="420" w:firstLineChars="200"/>
        <w:rPr>
          <w:rFonts w:ascii="宋体" w:hAnsi="宋体" w:eastAsia="宋体"/>
        </w:rPr>
      </w:pPr>
      <w:r>
        <w:rPr>
          <w:rFonts w:hint="eastAsia" w:ascii="宋体" w:hAnsi="宋体" w:eastAsia="宋体"/>
        </w:rPr>
        <w:t>其中y代表镁或其他元素的信号强度，b为标准曲线的截距，m为标准曲线的斜率</w:t>
      </w:r>
    </w:p>
    <w:p>
      <w:pPr>
        <w:ind w:firstLine="420" w:firstLineChars="200"/>
      </w:pPr>
    </w:p>
    <w:p>
      <w:pPr>
        <w:ind w:firstLine="420" w:firstLineChars="200"/>
      </w:pPr>
      <w:r>
        <w:t>试验结果如下。</w:t>
      </w:r>
    </w:p>
    <w:p>
      <w:pPr>
        <w:ind w:firstLine="420" w:firstLineChars="200"/>
      </w:pPr>
      <w:r>
        <w:rPr>
          <w:rFonts w:hint="eastAsia"/>
        </w:rPr>
        <w:t>与同期空白对照组雌性动物相比，低剂量组和高剂量组动物镁与锌含量测定结果无统计学差异；</w:t>
      </w:r>
    </w:p>
    <w:p>
      <w:pPr>
        <w:ind w:firstLine="420" w:firstLineChars="200"/>
      </w:pPr>
      <w:r>
        <w:rPr>
          <w:rFonts w:hint="eastAsia"/>
        </w:rPr>
        <w:t>与同期裸支架对照组雌性动物相比，低剂量组和高剂量组动物镁与锌含量测定结果无统计学差异。</w:t>
      </w:r>
    </w:p>
    <w:p>
      <w:pPr>
        <w:ind w:firstLine="420" w:firstLineChars="200"/>
      </w:pPr>
      <w:r>
        <w:rPr>
          <w:rFonts w:hint="eastAsia"/>
        </w:rPr>
        <w:t>与同期空白对照组雄性动物相比，低剂量和高剂量组动物镁与锌含量测定结果无统计学差异；</w:t>
      </w:r>
      <w:r>
        <w:t xml:space="preserve"> </w:t>
      </w:r>
    </w:p>
    <w:p>
      <w:pPr>
        <w:ind w:firstLine="420" w:firstLineChars="200"/>
      </w:pPr>
      <w:r>
        <w:rPr>
          <w:rFonts w:hint="eastAsia"/>
        </w:rPr>
        <w:t>与同期裸支架对照组雄性动物相比，低剂量组和高剂量组动物镁与锌含量测定结果无统计学差异。</w:t>
      </w:r>
    </w:p>
    <w:p>
      <w:pPr>
        <w:ind w:firstLine="420" w:firstLineChars="200"/>
      </w:pPr>
      <w:r>
        <w:rPr>
          <w:rFonts w:hint="eastAsia"/>
        </w:rPr>
        <w:t>由于动物体内钇和钕的量低于定量检测下线，各组均未检测出钇和钕。</w:t>
      </w:r>
    </w:p>
    <w:p>
      <w:pPr>
        <w:rPr>
          <w:highlight w:val="yellow"/>
        </w:rPr>
      </w:pPr>
    </w:p>
    <w:p>
      <w:pPr>
        <w:ind w:firstLine="420" w:firstLineChars="200"/>
      </w:pPr>
      <w:r>
        <w:drawing>
          <wp:inline distT="0" distB="0" distL="0" distR="0">
            <wp:extent cx="4762500" cy="30861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tabs>
          <w:tab w:val="left" w:pos="2970"/>
        </w:tabs>
        <w:ind w:firstLine="420" w:firstLineChars="200"/>
        <w:rPr>
          <w:rFonts w:hint="eastAsia"/>
        </w:rPr>
      </w:pPr>
      <w:r>
        <w:tab/>
      </w:r>
      <w:r>
        <w:t>图</w:t>
      </w:r>
      <w:r>
        <w:rPr>
          <w:rFonts w:hint="eastAsia"/>
        </w:rPr>
        <w:t>1</w:t>
      </w:r>
      <w:r>
        <w:t>血镁浓度曲线（雌性）</w:t>
      </w:r>
    </w:p>
    <w:p>
      <w:pPr>
        <w:ind w:firstLine="420" w:firstLineChars="200"/>
      </w:pPr>
      <w:r>
        <w:drawing>
          <wp:inline distT="0" distB="0" distL="0" distR="0">
            <wp:extent cx="4733925" cy="3238500"/>
            <wp:effectExtent l="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420" w:firstLineChars="200"/>
        <w:jc w:val="center"/>
      </w:pPr>
      <w:r>
        <w:t>图</w:t>
      </w:r>
      <w:r>
        <w:rPr>
          <w:rFonts w:hint="eastAsia"/>
        </w:rPr>
        <w:t>2</w:t>
      </w:r>
      <w:r>
        <w:t xml:space="preserve"> 血镁浓度曲线（雄性）</w:t>
      </w:r>
    </w:p>
    <w:p>
      <w:pPr>
        <w:ind w:firstLine="420" w:firstLineChars="200"/>
        <w:rPr>
          <w:rFonts w:hint="eastAsia"/>
        </w:rPr>
      </w:pPr>
    </w:p>
    <w:p>
      <w:pPr>
        <w:ind w:firstLine="420" w:firstLineChars="200"/>
      </w:pPr>
      <w:r>
        <w:drawing>
          <wp:inline distT="0" distB="0" distL="0" distR="0">
            <wp:extent cx="4752975" cy="3276600"/>
            <wp:effectExtent l="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420" w:firstLineChars="200"/>
        <w:jc w:val="center"/>
        <w:rPr>
          <w:rFonts w:hint="eastAsia"/>
        </w:rPr>
      </w:pPr>
      <w:r>
        <w:t>图</w:t>
      </w:r>
      <w:r>
        <w:rPr>
          <w:rFonts w:hint="eastAsia"/>
        </w:rPr>
        <w:t>3</w:t>
      </w:r>
      <w:r>
        <w:t xml:space="preserve"> 血锌浓度曲线（雌性）</w:t>
      </w:r>
    </w:p>
    <w:p>
      <w:pPr>
        <w:ind w:firstLine="420" w:firstLineChars="200"/>
      </w:pPr>
      <w:r>
        <w:drawing>
          <wp:inline distT="0" distB="0" distL="0" distR="0">
            <wp:extent cx="4781550" cy="30480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420" w:firstLineChars="200"/>
        <w:jc w:val="center"/>
        <w:rPr>
          <w:rFonts w:hint="eastAsia"/>
        </w:rPr>
      </w:pPr>
      <w:r>
        <w:t>图</w:t>
      </w:r>
      <w:r>
        <w:rPr>
          <w:rFonts w:hint="eastAsia"/>
        </w:rPr>
        <w:t>4</w:t>
      </w:r>
      <w:r>
        <w:t xml:space="preserve"> 血锌浓度曲线（雄性）</w:t>
      </w:r>
    </w:p>
    <w:p>
      <w:pPr>
        <w:ind w:firstLine="420" w:firstLineChars="200"/>
      </w:pPr>
      <w:r>
        <w:t>结论：支架植入</w:t>
      </w:r>
      <w:r>
        <w:rPr>
          <w:rFonts w:hint="eastAsia"/>
        </w:rPr>
        <w:t>对</w:t>
      </w:r>
      <w:r>
        <w:t>低剂量和高剂量</w:t>
      </w:r>
      <w:r>
        <w:rPr>
          <w:rFonts w:hint="eastAsia"/>
        </w:rPr>
        <w:t>组</w:t>
      </w:r>
      <w:r>
        <w:t>动物的</w:t>
      </w:r>
      <w:r>
        <w:rPr>
          <w:rFonts w:hint="eastAsia"/>
        </w:rPr>
        <w:t>体内</w:t>
      </w:r>
      <w:r>
        <w:t>镁和锌离子浓度</w:t>
      </w:r>
      <w:r>
        <w:rPr>
          <w:rFonts w:hint="eastAsia"/>
        </w:rPr>
        <w:t>无</w:t>
      </w:r>
      <w:r>
        <w:t>明显影响。</w:t>
      </w:r>
    </w:p>
    <w:p>
      <w:pPr>
        <w:ind w:firstLine="420" w:firstLineChars="200"/>
      </w:pPr>
      <w:r>
        <w:rPr>
          <w:rFonts w:hint="eastAsia"/>
        </w:rPr>
        <w:t>试验所使用的镁合金药物支架合金材料为M</w:t>
      </w:r>
      <w:r>
        <w:t>g-Zn-Y-Nd镁合金，其中锌的含量为（</w:t>
      </w:r>
      <w:r>
        <w:rPr>
          <w:rFonts w:hint="eastAsia"/>
        </w:rPr>
        <w:t>1</w:t>
      </w:r>
      <w:r>
        <w:t>～3）%，钇的含量为（</w:t>
      </w:r>
      <w:r>
        <w:rPr>
          <w:rFonts w:hint="eastAsia"/>
        </w:rPr>
        <w:t>0</w:t>
      </w:r>
      <w:r>
        <w:t>.23～</w:t>
      </w:r>
      <w:r>
        <w:rPr>
          <w:rFonts w:hint="eastAsia"/>
        </w:rPr>
        <w:t>0</w:t>
      </w:r>
      <w:r>
        <w:t>.69），钕的含量为（</w:t>
      </w:r>
      <w:r>
        <w:rPr>
          <w:rFonts w:hint="eastAsia"/>
        </w:rPr>
        <w:t>0</w:t>
      </w:r>
      <w:r>
        <w:t>.5～</w:t>
      </w:r>
      <w:r>
        <w:rPr>
          <w:rFonts w:hint="eastAsia"/>
        </w:rPr>
        <w:t>1</w:t>
      </w:r>
      <w:r>
        <w:t>.0）</w:t>
      </w:r>
      <w:r>
        <w:rPr>
          <w:rFonts w:hint="eastAsia"/>
        </w:rPr>
        <w:t>%，其余为镁。M</w:t>
      </w:r>
      <w:r>
        <w:t>g-Zn-Y-Nd镁合金植入后，经过</w:t>
      </w:r>
      <w:r>
        <w:rPr>
          <w:rFonts w:hint="eastAsia"/>
        </w:rPr>
        <w:t>2</w:t>
      </w:r>
      <w:r>
        <w:t>76天，并在上述各采样点采样进行测试，从测试结果可知，支架植入后，无论是低剂量组或高剂量组与空白对照相比较均无显著性差异。而钇元素和钕元素由于本身在支架合金材料中含量较低，因此所有组中均因</w:t>
      </w:r>
      <w:r>
        <w:rPr>
          <w:rFonts w:hint="eastAsia"/>
        </w:rPr>
        <w:t>低于定量检测下线，而未检出。</w:t>
      </w:r>
    </w:p>
    <w:p>
      <w:pPr>
        <w:ind w:firstLine="420" w:firstLineChars="200"/>
      </w:pPr>
      <w:r>
        <w:rPr>
          <w:rFonts w:hint="eastAsia"/>
        </w:rPr>
        <w:t>因此镁合金血管支架植入后不会对人体造成任何毒性反应，具有优良的安全性。</w:t>
      </w:r>
    </w:p>
    <w:p>
      <w:r>
        <w:rPr>
          <w:rFonts w:hint="eastAsia"/>
        </w:rPr>
        <w:t>3</w:t>
      </w:r>
      <w:r>
        <w:t>.2 技术经济论证，预期的经济效果</w:t>
      </w:r>
    </w:p>
    <w:p>
      <w:pPr>
        <w:ind w:firstLine="420" w:firstLineChars="200"/>
      </w:pPr>
      <w:r>
        <w:rPr>
          <w:rFonts w:hint="eastAsia"/>
        </w:rPr>
        <w:t>心血管疾病是人类死亡的主要原因。其中冠状动脉粥样硬化心脏病是临床中最常见的心血管疾病。根据由国家心血管病中心组织编撰的《中国心血管病报告2018》显示，我国心脑血管病患病率及死亡率仍处于上升阶段。推算心血管病现患人数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至2018年，年支架植入数量约为133.6万。</w:t>
      </w:r>
    </w:p>
    <w:p>
      <w:pPr>
        <w:ind w:firstLine="420" w:firstLineChars="200"/>
      </w:pPr>
      <w:r>
        <w:rPr>
          <w:rFonts w:hint="eastAsia"/>
        </w:rPr>
        <w:t>不可降解金属药物洗脱支架目前作为主要治疗手段，在植入的病变血管处后，涂层中的药物通过洗脱的方式缓释至血管壁，抑制平滑肌细胞过度增殖，从而有效的降低再狭窄率。尽管药物涂层支架（Drug</w:t>
      </w:r>
      <w:r>
        <w:t>-Eluting Stent，</w:t>
      </w:r>
      <w:r>
        <w:rPr>
          <w:rFonts w:hint="eastAsia"/>
        </w:rPr>
        <w:t>DES，以下简称D</w:t>
      </w:r>
      <w:r>
        <w:t>ES</w:t>
      </w:r>
      <w:r>
        <w:rPr>
          <w:rFonts w:hint="eastAsia"/>
        </w:rPr>
        <w:t>）成功地减少了支架内再狭窄的发生率，但其长期的安全性和有效性一直备受关注。DES的主要缺点包括与植入部位力学不匹配，限制血管的正常扩张和适应性动脉重建，晚期支架血栓形成，延迟支架内皮化，以及金属支架长期植入后引起的持续性和慢性异物反应。导致这些现象的根本原因是裸支架和药物洗脱支架的金属支架都是血管内的异物，金属支架通常由不锈钢或钴铬合金制成。即使在患者康复后，这些金属支架通常也会永久地放置在目标动脉血管内。</w:t>
      </w:r>
    </w:p>
    <w:p>
      <w:pPr>
        <w:ind w:firstLine="420" w:firstLineChars="200"/>
      </w:pPr>
      <w:r>
        <w:rPr>
          <w:rFonts w:hint="eastAsia"/>
        </w:rPr>
        <w:t>生物可降解血管支架，通常具有优异的短期及长期效果，支架在数月之内完全降解，从而避免了支架永久存在造成的晚期血栓、支架内再狭窄、动脉粥样硬化及排异反应。理想的生物可降解支架在植入人体内后应平衡降解性能和力学性能，在动脉血管重建初始阶段，支架降解速度应非常缓慢，以维持优异的支撑强度，此血管重建周期为6-12个月，此后，随着支架逐步降解，支架支撑力降低，降解产物被代谢或吸收且不累积在植入部位，此支架降解过程为12-24个月。以上两个过程主要取决于支架类型和植入部位情况，因此应结合环境情况评价材料。</w:t>
      </w:r>
    </w:p>
    <w:p>
      <w:pPr>
        <w:ind w:firstLine="420" w:firstLineChars="200"/>
      </w:pPr>
      <w:r>
        <w:rPr>
          <w:rFonts w:hint="eastAsia"/>
        </w:rPr>
        <w:t>镁及镁合金具有合适的力学性能、良好的生物相容性以及生物可降解性等特征。相比其他用于血管支架的生物材料，镁是人体必需的元素之一；镁及镁合金具有合适的力学强度，柔顺性较好，弹性模量和屈服强度远高于聚乳酸材料；Mg</w:t>
      </w:r>
      <w:r>
        <w:rPr>
          <w:rFonts w:hint="eastAsia"/>
          <w:vertAlign w:val="superscript"/>
        </w:rPr>
        <w:t>2+</w:t>
      </w:r>
      <w:r>
        <w:rPr>
          <w:rFonts w:hint="eastAsia"/>
        </w:rPr>
        <w:t>具有一些与心血管治疗相关的功能，如能通过抑制血小板聚集和粘附、拮抗血栓形成、预防血管痉挛等作用；生物可降解性，镁及镁合金的腐蚀速度能够通过各种改性方法调控，以得到拥有更为优异的力学性能、降解行为、生物相容性及功能性的材料。</w:t>
      </w:r>
    </w:p>
    <w:p>
      <w:pPr>
        <w:ind w:firstLine="420" w:firstLineChars="200"/>
      </w:pPr>
      <w:r>
        <w:rPr>
          <w:rFonts w:hint="eastAsia"/>
        </w:rPr>
        <w:t>全降解镁合金药物洗脱支架作为一种预期植入体内后被完成降解的医疗器械，应重点考虑其体内的毒代动学问题。尤其是目前所选用的作为植介入应用的镁合金材料大多是新型合成材料，为提高镁合金的性能，常会加入不同种类的合金元素。镁元素及其合金中所添加和合金元素在植入体内后的吸收、分布、代谢和排泄情况在前期需要予以研究，以便明确是否会由此产生不良作用。本标准建立了一种适用于全降解镁合金血管支架的毒代动力学试验方法。</w:t>
      </w:r>
    </w:p>
    <w:p>
      <w:pPr>
        <w:pStyle w:val="2"/>
        <w:rPr>
          <w:lang w:eastAsia="zh-CN"/>
        </w:rPr>
      </w:pPr>
      <w:r>
        <w:rPr>
          <w:rFonts w:hint="eastAsia"/>
          <w:lang w:eastAsia="zh-CN"/>
        </w:rPr>
        <w:t>四、采用国际标准的程度及水平的简要说明</w:t>
      </w:r>
    </w:p>
    <w:p>
      <w:pPr>
        <w:ind w:firstLine="420" w:firstLineChars="200"/>
      </w:pPr>
      <w:r>
        <w:rPr>
          <w:rFonts w:hint="eastAsia"/>
        </w:rPr>
        <w:t>参照ISO</w:t>
      </w:r>
      <w:r>
        <w:t xml:space="preserve"> 10993-16: 2010 </w:t>
      </w:r>
      <w:r>
        <w:rPr>
          <w:rFonts w:hint="eastAsia"/>
        </w:rPr>
        <w:t>医疗器械生物学评价 第16部分：降解产物与可沥滤物毒代动力学研究设计（</w:t>
      </w:r>
      <w:r>
        <w:t>Biological evaluation of medical devices - Part 16: Toxicokinetic study design for degradation products and leachables</w:t>
      </w:r>
      <w:r>
        <w:rPr>
          <w:rFonts w:hint="eastAsia"/>
        </w:rPr>
        <w:t>）中毒代动力学研究的设计原则和方法指南，结合可降解血管支架的特点，提出该全降解镁合金药物洗脱支架毒代动力学试验方法。</w:t>
      </w:r>
      <w:bookmarkStart w:id="0" w:name="_GoBack"/>
      <w:bookmarkEnd w:id="0"/>
    </w:p>
    <w:p>
      <w:pPr>
        <w:pStyle w:val="2"/>
        <w:rPr>
          <w:lang w:eastAsia="zh-CN"/>
        </w:rPr>
      </w:pPr>
      <w:r>
        <w:rPr>
          <w:rFonts w:hint="eastAsia"/>
          <w:lang w:eastAsia="zh-CN"/>
        </w:rPr>
        <w:t>五、与有关的现行法律、法规和强制性标准的关系</w:t>
      </w:r>
    </w:p>
    <w:p>
      <w:pPr>
        <w:ind w:firstLine="420" w:firstLineChars="200"/>
      </w:pPr>
      <w:r>
        <w:rPr>
          <w:rFonts w:hint="eastAsia"/>
        </w:rPr>
        <w:t>本标准内容符合现行法律、法规</w:t>
      </w:r>
    </w:p>
    <w:p>
      <w:pPr>
        <w:pStyle w:val="2"/>
        <w:rPr>
          <w:lang w:eastAsia="zh-CN"/>
        </w:rPr>
      </w:pPr>
      <w:r>
        <w:rPr>
          <w:rFonts w:hint="eastAsia"/>
          <w:lang w:eastAsia="zh-CN"/>
        </w:rPr>
        <w:t>六、重大分歧意见的处理经过和依据</w:t>
      </w:r>
    </w:p>
    <w:p>
      <w:pPr>
        <w:ind w:firstLine="420" w:firstLineChars="200"/>
      </w:pPr>
      <w:r>
        <w:rPr>
          <w:rFonts w:hint="eastAsia"/>
        </w:rPr>
        <w:t>目前，没有分歧意见</w:t>
      </w:r>
    </w:p>
    <w:p>
      <w:pPr>
        <w:pStyle w:val="2"/>
        <w:rPr>
          <w:lang w:eastAsia="zh-CN"/>
        </w:rPr>
      </w:pPr>
      <w:r>
        <w:rPr>
          <w:rFonts w:hint="eastAsia"/>
          <w:lang w:eastAsia="zh-CN"/>
        </w:rPr>
        <w:t>七、其它应予说明的事项</w:t>
      </w:r>
    </w:p>
    <w:p>
      <w:pPr>
        <w:ind w:firstLine="420" w:firstLineChars="200"/>
      </w:pPr>
      <w:r>
        <w:rPr>
          <w:rFonts w:hint="eastAsia"/>
        </w:rPr>
        <w:t>无</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1"/>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B4AF5"/>
    <w:rsid w:val="000805B9"/>
    <w:rsid w:val="00095E45"/>
    <w:rsid w:val="0015251A"/>
    <w:rsid w:val="00152CEC"/>
    <w:rsid w:val="001D2B29"/>
    <w:rsid w:val="00222109"/>
    <w:rsid w:val="003120A2"/>
    <w:rsid w:val="00314AB9"/>
    <w:rsid w:val="00354245"/>
    <w:rsid w:val="003F45AF"/>
    <w:rsid w:val="004B3C62"/>
    <w:rsid w:val="004B6423"/>
    <w:rsid w:val="00531CC3"/>
    <w:rsid w:val="00571F92"/>
    <w:rsid w:val="005B5BBE"/>
    <w:rsid w:val="005C723E"/>
    <w:rsid w:val="00616B5E"/>
    <w:rsid w:val="00742C5D"/>
    <w:rsid w:val="00745A46"/>
    <w:rsid w:val="00777E8C"/>
    <w:rsid w:val="00794209"/>
    <w:rsid w:val="0081469D"/>
    <w:rsid w:val="00821023"/>
    <w:rsid w:val="008A2C46"/>
    <w:rsid w:val="008B15BB"/>
    <w:rsid w:val="008F61F8"/>
    <w:rsid w:val="009121A6"/>
    <w:rsid w:val="00927C4B"/>
    <w:rsid w:val="00973B68"/>
    <w:rsid w:val="00A2672A"/>
    <w:rsid w:val="00A3507A"/>
    <w:rsid w:val="00A640D2"/>
    <w:rsid w:val="00A80F17"/>
    <w:rsid w:val="00AD2566"/>
    <w:rsid w:val="00AF0DBB"/>
    <w:rsid w:val="00B01053"/>
    <w:rsid w:val="00BA1D0E"/>
    <w:rsid w:val="00C254B3"/>
    <w:rsid w:val="00C4224D"/>
    <w:rsid w:val="00CB525A"/>
    <w:rsid w:val="00D55DF4"/>
    <w:rsid w:val="00D83750"/>
    <w:rsid w:val="00E1655C"/>
    <w:rsid w:val="00E635FA"/>
    <w:rsid w:val="00EC3C12"/>
    <w:rsid w:val="00EF29E2"/>
    <w:rsid w:val="00F07854"/>
    <w:rsid w:val="00F66927"/>
    <w:rsid w:val="0A3B4AF5"/>
    <w:rsid w:val="0C92211E"/>
    <w:rsid w:val="10005FCF"/>
    <w:rsid w:val="131B3696"/>
    <w:rsid w:val="1922234A"/>
    <w:rsid w:val="198048E1"/>
    <w:rsid w:val="2B961490"/>
    <w:rsid w:val="31A45359"/>
    <w:rsid w:val="331A553D"/>
    <w:rsid w:val="33C21346"/>
    <w:rsid w:val="35EF1D67"/>
    <w:rsid w:val="3A0719C4"/>
    <w:rsid w:val="3FCA4796"/>
    <w:rsid w:val="403D4072"/>
    <w:rsid w:val="45A55229"/>
    <w:rsid w:val="48D16F91"/>
    <w:rsid w:val="4D2A1521"/>
    <w:rsid w:val="54F93281"/>
    <w:rsid w:val="56EA430C"/>
    <w:rsid w:val="57851FA6"/>
    <w:rsid w:val="58E317DA"/>
    <w:rsid w:val="598F0AD6"/>
    <w:rsid w:val="615F7CCE"/>
    <w:rsid w:val="6F460A9E"/>
    <w:rsid w:val="74F8126E"/>
    <w:rsid w:val="7513358C"/>
    <w:rsid w:val="793A3047"/>
    <w:rsid w:val="7F7C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440" w:after="200" w:line="440" w:lineRule="exact"/>
      <w:outlineLvl w:val="0"/>
    </w:pPr>
    <w:rPr>
      <w:rFonts w:ascii="仿宋" w:hAnsi="仿宋" w:eastAsia="黑体" w:cs="仿宋"/>
      <w:b/>
      <w:bCs/>
      <w:color w:val="000000" w:themeColor="text1"/>
      <w:szCs w:val="32"/>
      <w:lang w:eastAsia="en-US"/>
      <w14:textFill>
        <w14:solidFill>
          <w14:schemeClr w14:val="tx1"/>
        </w14:solidFill>
      </w14:textFill>
    </w:rPr>
  </w:style>
  <w:style w:type="paragraph" w:styleId="3">
    <w:name w:val="heading 2"/>
    <w:basedOn w:val="1"/>
    <w:next w:val="1"/>
    <w:link w:val="14"/>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5"/>
    <w:unhideWhenUsed/>
    <w:qFormat/>
    <w:uiPriority w:val="0"/>
    <w:pPr>
      <w:keepNext/>
      <w:keepLines/>
      <w:spacing w:before="200" w:after="200"/>
      <w:outlineLvl w:val="2"/>
    </w:pPr>
    <w:rPr>
      <w:rFonts w:eastAsia="黑体" w:asciiTheme="majorHAnsi" w:hAnsiTheme="majorHAnsi" w:cstheme="majorBidi"/>
      <w:b/>
      <w:bCs/>
      <w:color w:val="000000" w:themeColor="text1"/>
      <w:lang w:eastAsia="en-US"/>
      <w14:textFill>
        <w14:solidFill>
          <w14:schemeClr w14:val="tx1"/>
        </w14:solidFill>
      </w14:textFill>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Balloon Text"/>
    <w:basedOn w:val="1"/>
    <w:link w:val="20"/>
    <w:semiHidden/>
    <w:unhideWhenUsed/>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semiHidden/>
    <w:unhideWhenUsed/>
    <w:qFormat/>
    <w:uiPriority w:val="0"/>
    <w:rPr>
      <w:b/>
      <w:bCs/>
    </w:rPr>
  </w:style>
  <w:style w:type="character" w:styleId="12">
    <w:name w:val="annotation reference"/>
    <w:basedOn w:val="11"/>
    <w:qFormat/>
    <w:uiPriority w:val="0"/>
    <w:rPr>
      <w:sz w:val="21"/>
      <w:szCs w:val="21"/>
    </w:rPr>
  </w:style>
  <w:style w:type="character" w:customStyle="1" w:styleId="13">
    <w:name w:val="标题 1 Char"/>
    <w:basedOn w:val="11"/>
    <w:link w:val="2"/>
    <w:qFormat/>
    <w:uiPriority w:val="9"/>
    <w:rPr>
      <w:rFonts w:ascii="仿宋" w:hAnsi="仿宋" w:eastAsia="黑体" w:cs="仿宋"/>
      <w:b/>
      <w:bCs/>
      <w:color w:val="000000" w:themeColor="text1"/>
      <w:sz w:val="21"/>
      <w:szCs w:val="32"/>
      <w:lang w:val="en-US" w:eastAsia="en-US"/>
      <w14:textFill>
        <w14:solidFill>
          <w14:schemeClr w14:val="tx1"/>
        </w14:solidFill>
      </w14:textFill>
    </w:rPr>
  </w:style>
  <w:style w:type="character" w:customStyle="1" w:styleId="14">
    <w:name w:val="标题 2 Char"/>
    <w:basedOn w:val="11"/>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15">
    <w:name w:val="标题 3 Char"/>
    <w:basedOn w:val="11"/>
    <w:link w:val="4"/>
    <w:qFormat/>
    <w:uiPriority w:val="9"/>
    <w:rPr>
      <w:rFonts w:eastAsia="黑体" w:asciiTheme="majorHAnsi" w:hAnsiTheme="majorHAnsi" w:cstheme="majorBidi"/>
      <w:b/>
      <w:bCs/>
      <w:color w:val="000000" w:themeColor="text1"/>
      <w:sz w:val="21"/>
      <w:lang w:val="en-US" w:eastAsia="en-US"/>
      <w14:textFill>
        <w14:solidFill>
          <w14:schemeClr w14:val="tx1"/>
        </w14:solidFill>
      </w14:textFill>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页脚 Char"/>
    <w:basedOn w:val="11"/>
    <w:link w:val="7"/>
    <w:qFormat/>
    <w:uiPriority w:val="0"/>
    <w:rPr>
      <w:rFonts w:asciiTheme="minorHAnsi" w:hAnsiTheme="minorHAnsi" w:eastAsiaTheme="minorEastAsia" w:cstheme="minorBidi"/>
      <w:kern w:val="2"/>
      <w:sz w:val="18"/>
      <w:szCs w:val="18"/>
    </w:rPr>
  </w:style>
  <w:style w:type="character" w:customStyle="1" w:styleId="18">
    <w:name w:val="批注文字 Char"/>
    <w:basedOn w:val="11"/>
    <w:link w:val="5"/>
    <w:uiPriority w:val="0"/>
    <w:rPr>
      <w:rFonts w:asciiTheme="minorHAnsi" w:hAnsiTheme="minorHAnsi" w:eastAsiaTheme="minorEastAsia" w:cstheme="minorBidi"/>
      <w:kern w:val="2"/>
      <w:sz w:val="21"/>
      <w:szCs w:val="24"/>
    </w:rPr>
  </w:style>
  <w:style w:type="character" w:customStyle="1" w:styleId="19">
    <w:name w:val="批注主题 Char"/>
    <w:basedOn w:val="18"/>
    <w:link w:val="9"/>
    <w:semiHidden/>
    <w:qFormat/>
    <w:uiPriority w:val="0"/>
    <w:rPr>
      <w:rFonts w:asciiTheme="minorHAnsi" w:hAnsiTheme="minorHAnsi" w:eastAsiaTheme="minorEastAsia" w:cstheme="minorBidi"/>
      <w:b/>
      <w:bCs/>
      <w:kern w:val="2"/>
      <w:sz w:val="21"/>
      <w:szCs w:val="24"/>
    </w:rPr>
  </w:style>
  <w:style w:type="character" w:customStyle="1" w:styleId="20">
    <w:name w:val="批注框文本 Char"/>
    <w:basedOn w:val="11"/>
    <w:link w:val="6"/>
    <w:semiHidden/>
    <w:qFormat/>
    <w:uiPriority w:val="0"/>
    <w:rPr>
      <w:rFonts w:asciiTheme="minorHAnsi" w:hAnsiTheme="minorHAnsi" w:eastAsiaTheme="minorEastAsia" w:cstheme="minorBidi"/>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9.%20&#20135;&#21697;&#24320;&#21457;\1.%20MgDES\5.2%20&#27602;&#20195;&#35797;&#39564;\&#32479;&#35745;&#22270;&#34920;%20from%20&#34945;&#36229;-m.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9.%20&#20135;&#21697;&#24320;&#21457;\1.%20MgDES\5.2%20&#27602;&#20195;&#35797;&#39564;\&#32479;&#35745;&#22270;&#34920;%20from%20&#34945;&#36229;-m.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9.%20&#20135;&#21697;&#24320;&#21457;\1.%20MgDES\5.2%20&#27602;&#20195;&#35797;&#39564;\&#32479;&#35745;&#22270;&#34920;%20from%20&#34945;&#36229;-m.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9.%20&#20135;&#21697;&#24320;&#21457;\1.%20MgDES\5.2%20&#27602;&#20195;&#35797;&#39564;\&#32479;&#35745;&#22270;&#34920;%20from%20&#34945;&#36229;-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000" b="0" i="0" u="none" strike="noStrike" baseline="0">
                <a:solidFill>
                  <a:srgbClr val="333333"/>
                </a:solidFill>
                <a:latin typeface="宋体" panose="02010600030101010101" charset="-122"/>
                <a:ea typeface="宋体" panose="02010600030101010101" charset="-122"/>
                <a:cs typeface="Calibri" panose="020F0502020204030204"/>
              </a:rPr>
              <a:t>Mg-female</a:t>
            </a:r>
            <a:endParaRPr lang="zh-CN" altLang="en-US" sz="1000"/>
          </a:p>
        </c:rich>
      </c:tx>
      <c:layout/>
      <c:overlay val="0"/>
      <c:spPr>
        <a:noFill/>
        <a:ln w="25400">
          <a:noFill/>
        </a:ln>
      </c:spPr>
    </c:title>
    <c:autoTitleDeleted val="0"/>
    <c:plotArea>
      <c:layout/>
      <c:scatterChart>
        <c:scatterStyle val="smoothMarker"/>
        <c:varyColors val="0"/>
        <c:ser>
          <c:idx val="0"/>
          <c:order val="0"/>
          <c:tx>
            <c:strRef>
              <c:f>Sheet1!$B$6</c:f>
              <c:strCache>
                <c:ptCount val="1"/>
                <c:pt idx="0">
                  <c:v>B</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Sheet1!$A$7:$A$18</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Sheet1!$B$7:$B$18</c:f>
              <c:numCache>
                <c:formatCode>General</c:formatCode>
                <c:ptCount val="12"/>
                <c:pt idx="0">
                  <c:v>23.647</c:v>
                </c:pt>
                <c:pt idx="1">
                  <c:v>22.387</c:v>
                </c:pt>
                <c:pt idx="2">
                  <c:v>21.861</c:v>
                </c:pt>
                <c:pt idx="3">
                  <c:v>23.395</c:v>
                </c:pt>
                <c:pt idx="4">
                  <c:v>21.034</c:v>
                </c:pt>
                <c:pt idx="5">
                  <c:v>22.315</c:v>
                </c:pt>
                <c:pt idx="6">
                  <c:v>21.087</c:v>
                </c:pt>
                <c:pt idx="7">
                  <c:v>20.558</c:v>
                </c:pt>
                <c:pt idx="8">
                  <c:v>23.039</c:v>
                </c:pt>
                <c:pt idx="9">
                  <c:v>21.097</c:v>
                </c:pt>
                <c:pt idx="10">
                  <c:v>22.641</c:v>
                </c:pt>
                <c:pt idx="11">
                  <c:v>22.958</c:v>
                </c:pt>
              </c:numCache>
            </c:numRef>
          </c:yVal>
          <c:smooth val="1"/>
        </c:ser>
        <c:ser>
          <c:idx val="1"/>
          <c:order val="1"/>
          <c:tx>
            <c:strRef>
              <c:f>Sheet1!$C$6</c:f>
              <c:strCache>
                <c:ptCount val="1"/>
                <c:pt idx="0">
                  <c:v>L</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Sheet1!$A$7:$A$18</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Sheet1!$C$7:$C$18</c:f>
              <c:numCache>
                <c:formatCode>General</c:formatCode>
                <c:ptCount val="12"/>
                <c:pt idx="0">
                  <c:v>22.227</c:v>
                </c:pt>
                <c:pt idx="1">
                  <c:v>22.019</c:v>
                </c:pt>
                <c:pt idx="2">
                  <c:v>24.269</c:v>
                </c:pt>
                <c:pt idx="3">
                  <c:v>23.094</c:v>
                </c:pt>
                <c:pt idx="4">
                  <c:v>21.972</c:v>
                </c:pt>
                <c:pt idx="5">
                  <c:v>23.623</c:v>
                </c:pt>
                <c:pt idx="6">
                  <c:v>22.254</c:v>
                </c:pt>
                <c:pt idx="7">
                  <c:v>22.742</c:v>
                </c:pt>
                <c:pt idx="8">
                  <c:v>24.821</c:v>
                </c:pt>
                <c:pt idx="9">
                  <c:v>25.36</c:v>
                </c:pt>
                <c:pt idx="10">
                  <c:v>24.693</c:v>
                </c:pt>
                <c:pt idx="11">
                  <c:v>22.227</c:v>
                </c:pt>
              </c:numCache>
            </c:numRef>
          </c:yVal>
          <c:smooth val="1"/>
        </c:ser>
        <c:ser>
          <c:idx val="2"/>
          <c:order val="2"/>
          <c:tx>
            <c:strRef>
              <c:f>Sheet1!$D$6</c:f>
              <c:strCache>
                <c:ptCount val="1"/>
                <c:pt idx="0">
                  <c:v>H</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xVal>
            <c:numRef>
              <c:f>Sheet1!$A$7:$A$18</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Sheet1!$D$7:$D$18</c:f>
              <c:numCache>
                <c:formatCode>General</c:formatCode>
                <c:ptCount val="12"/>
                <c:pt idx="0">
                  <c:v>21.923</c:v>
                </c:pt>
                <c:pt idx="1">
                  <c:v>25.713</c:v>
                </c:pt>
                <c:pt idx="2">
                  <c:v>23.665</c:v>
                </c:pt>
                <c:pt idx="3">
                  <c:v>23.354</c:v>
                </c:pt>
                <c:pt idx="4">
                  <c:v>22.485</c:v>
                </c:pt>
                <c:pt idx="5">
                  <c:v>22.287</c:v>
                </c:pt>
                <c:pt idx="6">
                  <c:v>20.833</c:v>
                </c:pt>
                <c:pt idx="7">
                  <c:v>21.209</c:v>
                </c:pt>
                <c:pt idx="8">
                  <c:v>22.18</c:v>
                </c:pt>
                <c:pt idx="9">
                  <c:v>22.82</c:v>
                </c:pt>
                <c:pt idx="10">
                  <c:v>23.508</c:v>
                </c:pt>
                <c:pt idx="11">
                  <c:v>22.53</c:v>
                </c:pt>
              </c:numCache>
            </c:numRef>
          </c:yVal>
          <c:smooth val="1"/>
        </c:ser>
        <c:ser>
          <c:idx val="3"/>
          <c:order val="3"/>
          <c:tx>
            <c:strRef>
              <c:f>Sheet1!$E$6</c:f>
              <c:strCache>
                <c:ptCount val="1"/>
                <c:pt idx="0">
                  <c:v>BS</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xVal>
            <c:numRef>
              <c:f>Sheet1!$A$7:$A$18</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Sheet1!$E$7:$E$18</c:f>
              <c:numCache>
                <c:formatCode>General</c:formatCode>
                <c:ptCount val="12"/>
                <c:pt idx="0">
                  <c:v>22.95</c:v>
                </c:pt>
                <c:pt idx="1">
                  <c:v>22.91</c:v>
                </c:pt>
                <c:pt idx="2">
                  <c:v>23.146</c:v>
                </c:pt>
                <c:pt idx="3">
                  <c:v>23.647</c:v>
                </c:pt>
                <c:pt idx="4">
                  <c:v>21.705</c:v>
                </c:pt>
                <c:pt idx="5">
                  <c:v>22.424</c:v>
                </c:pt>
                <c:pt idx="6">
                  <c:v>21.099</c:v>
                </c:pt>
                <c:pt idx="7">
                  <c:v>21.176</c:v>
                </c:pt>
                <c:pt idx="8">
                  <c:v>23.748</c:v>
                </c:pt>
                <c:pt idx="9">
                  <c:v>22.163</c:v>
                </c:pt>
                <c:pt idx="10">
                  <c:v>23.604</c:v>
                </c:pt>
                <c:pt idx="11">
                  <c:v>21.404</c:v>
                </c:pt>
              </c:numCache>
            </c:numRef>
          </c:yVal>
          <c:smooth val="1"/>
        </c:ser>
        <c:dLbls>
          <c:showLegendKey val="0"/>
          <c:showVal val="0"/>
          <c:showCatName val="0"/>
          <c:showSerName val="0"/>
          <c:showPercent val="0"/>
          <c:showBubbleSize val="0"/>
        </c:dLbls>
        <c:axId val="747863352"/>
        <c:axId val="747865312"/>
      </c:scatterChart>
      <c:valAx>
        <c:axId val="747863352"/>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d</a:t>
                </a:r>
                <a:endParaRPr lang="zh-CN" altLang="en-US"/>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47865312"/>
        <c:crosses val="autoZero"/>
        <c:crossBetween val="midCat"/>
      </c:valAx>
      <c:valAx>
        <c:axId val="74786531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ug/ml</a:t>
                </a:r>
                <a:endParaRPr lang="zh-CN" altLang="en-US" sz="1000" b="0" i="0" u="none" strike="noStrike" baseline="0">
                  <a:solidFill>
                    <a:srgbClr val="333333"/>
                  </a:solidFill>
                  <a:latin typeface="Calibri" panose="020F0502020204030204"/>
                  <a:cs typeface="Calibri" panose="020F0502020204030204"/>
                </a:endParaRPr>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47863352"/>
        <c:crosses val="autoZero"/>
        <c:crossBetween val="midCat"/>
      </c:valAx>
      <c:spPr>
        <a:noFill/>
        <a:ln w="25400">
          <a:noFill/>
        </a:ln>
      </c:spPr>
    </c:plotArea>
    <c:legend>
      <c:legendPos val="b"/>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000"/>
              <a:t>Mg-male</a:t>
            </a:r>
            <a:endParaRPr lang="zh-CN" altLang="en-US" sz="1000"/>
          </a:p>
        </c:rich>
      </c:tx>
      <c:layout>
        <c:manualLayout>
          <c:xMode val="edge"/>
          <c:yMode val="edge"/>
          <c:x val="0.405767940979209"/>
          <c:y val="0.0441176470588235"/>
        </c:manualLayout>
      </c:layout>
      <c:overlay val="0"/>
      <c:spPr>
        <a:noFill/>
        <a:ln w="25400">
          <a:noFill/>
        </a:ln>
      </c:spPr>
    </c:title>
    <c:autoTitleDeleted val="0"/>
    <c:plotArea>
      <c:layout>
        <c:manualLayout>
          <c:layoutTarget val="inner"/>
          <c:xMode val="edge"/>
          <c:yMode val="edge"/>
          <c:x val="0.0971943999957752"/>
          <c:y val="0.151346302300448"/>
          <c:w val="0.868600368615895"/>
          <c:h val="0.641611857341362"/>
        </c:manualLayout>
      </c:layout>
      <c:scatterChart>
        <c:scatterStyle val="smoothMarker"/>
        <c:varyColors val="0"/>
        <c:ser>
          <c:idx val="0"/>
          <c:order val="0"/>
          <c:tx>
            <c:strRef>
              <c:f>Sheet1!$B$27</c:f>
              <c:strCache>
                <c:ptCount val="1"/>
                <c:pt idx="0">
                  <c:v>B</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Sheet1!$A$28:$A$39</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Sheet1!$B$28:$B$39</c:f>
              <c:numCache>
                <c:formatCode>General</c:formatCode>
                <c:ptCount val="12"/>
                <c:pt idx="0">
                  <c:v>22.865</c:v>
                </c:pt>
                <c:pt idx="1">
                  <c:v>23.507</c:v>
                </c:pt>
                <c:pt idx="2">
                  <c:v>23.371</c:v>
                </c:pt>
                <c:pt idx="3">
                  <c:v>24.808</c:v>
                </c:pt>
                <c:pt idx="4">
                  <c:v>21.683</c:v>
                </c:pt>
                <c:pt idx="5">
                  <c:v>22.278</c:v>
                </c:pt>
                <c:pt idx="6">
                  <c:v>21.915</c:v>
                </c:pt>
                <c:pt idx="7">
                  <c:v>21.128</c:v>
                </c:pt>
                <c:pt idx="8">
                  <c:v>23.923</c:v>
                </c:pt>
                <c:pt idx="9">
                  <c:v>23.371</c:v>
                </c:pt>
                <c:pt idx="10">
                  <c:v>23.044</c:v>
                </c:pt>
                <c:pt idx="11">
                  <c:v>23.042</c:v>
                </c:pt>
              </c:numCache>
            </c:numRef>
          </c:yVal>
          <c:smooth val="1"/>
        </c:ser>
        <c:ser>
          <c:idx val="1"/>
          <c:order val="1"/>
          <c:tx>
            <c:strRef>
              <c:f>Sheet1!$C$27</c:f>
              <c:strCache>
                <c:ptCount val="1"/>
                <c:pt idx="0">
                  <c:v>L</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Sheet1!$A$28:$A$39</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Sheet1!$C$28:$C$39</c:f>
              <c:numCache>
                <c:formatCode>General</c:formatCode>
                <c:ptCount val="12"/>
                <c:pt idx="0">
                  <c:v>21.782</c:v>
                </c:pt>
                <c:pt idx="1">
                  <c:v>23.756</c:v>
                </c:pt>
                <c:pt idx="2">
                  <c:v>24.054</c:v>
                </c:pt>
                <c:pt idx="3">
                  <c:v>23.804</c:v>
                </c:pt>
                <c:pt idx="4">
                  <c:v>21.144</c:v>
                </c:pt>
                <c:pt idx="5">
                  <c:v>22.644</c:v>
                </c:pt>
                <c:pt idx="6">
                  <c:v>22.81</c:v>
                </c:pt>
                <c:pt idx="7">
                  <c:v>23.324</c:v>
                </c:pt>
                <c:pt idx="8">
                  <c:v>25.239</c:v>
                </c:pt>
                <c:pt idx="9">
                  <c:v>23.208</c:v>
                </c:pt>
                <c:pt idx="10">
                  <c:v>24.882</c:v>
                </c:pt>
                <c:pt idx="11">
                  <c:v>24.701</c:v>
                </c:pt>
              </c:numCache>
            </c:numRef>
          </c:yVal>
          <c:smooth val="1"/>
        </c:ser>
        <c:ser>
          <c:idx val="2"/>
          <c:order val="2"/>
          <c:tx>
            <c:strRef>
              <c:f>Sheet1!$D$27</c:f>
              <c:strCache>
                <c:ptCount val="1"/>
                <c:pt idx="0">
                  <c:v>H</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xVal>
            <c:numRef>
              <c:f>Sheet1!$A$28:$A$39</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Sheet1!$D$28:$D$39</c:f>
              <c:numCache>
                <c:formatCode>General</c:formatCode>
                <c:ptCount val="12"/>
                <c:pt idx="0">
                  <c:v>23.086</c:v>
                </c:pt>
                <c:pt idx="1">
                  <c:v>24.831</c:v>
                </c:pt>
                <c:pt idx="2">
                  <c:v>23.768</c:v>
                </c:pt>
                <c:pt idx="3">
                  <c:v>22.606</c:v>
                </c:pt>
                <c:pt idx="4">
                  <c:v>23.581</c:v>
                </c:pt>
                <c:pt idx="5">
                  <c:v>22.707</c:v>
                </c:pt>
                <c:pt idx="6">
                  <c:v>22.319</c:v>
                </c:pt>
                <c:pt idx="7">
                  <c:v>23.048</c:v>
                </c:pt>
                <c:pt idx="8">
                  <c:v>23.384</c:v>
                </c:pt>
                <c:pt idx="9">
                  <c:v>22.691</c:v>
                </c:pt>
                <c:pt idx="10">
                  <c:v>22.706</c:v>
                </c:pt>
                <c:pt idx="11">
                  <c:v>20.517</c:v>
                </c:pt>
              </c:numCache>
            </c:numRef>
          </c:yVal>
          <c:smooth val="1"/>
        </c:ser>
        <c:ser>
          <c:idx val="3"/>
          <c:order val="3"/>
          <c:tx>
            <c:strRef>
              <c:f>Sheet1!$E$27</c:f>
              <c:strCache>
                <c:ptCount val="1"/>
                <c:pt idx="0">
                  <c:v>BS</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xVal>
            <c:numRef>
              <c:f>Sheet1!$A$28:$A$39</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Sheet1!$E$28:$E$39</c:f>
              <c:numCache>
                <c:formatCode>General</c:formatCode>
                <c:ptCount val="12"/>
                <c:pt idx="0">
                  <c:v>22.362</c:v>
                </c:pt>
                <c:pt idx="1">
                  <c:v>23.498</c:v>
                </c:pt>
                <c:pt idx="2">
                  <c:v>21.607</c:v>
                </c:pt>
                <c:pt idx="3">
                  <c:v>21.289</c:v>
                </c:pt>
                <c:pt idx="4">
                  <c:v>21.304</c:v>
                </c:pt>
                <c:pt idx="5">
                  <c:v>21.624</c:v>
                </c:pt>
                <c:pt idx="6">
                  <c:v>22.672</c:v>
                </c:pt>
                <c:pt idx="7">
                  <c:v>21.28</c:v>
                </c:pt>
                <c:pt idx="8">
                  <c:v>23.971</c:v>
                </c:pt>
                <c:pt idx="9">
                  <c:v>23.498</c:v>
                </c:pt>
                <c:pt idx="10">
                  <c:v>25.263</c:v>
                </c:pt>
                <c:pt idx="11">
                  <c:v>23.996</c:v>
                </c:pt>
              </c:numCache>
            </c:numRef>
          </c:yVal>
          <c:smooth val="1"/>
        </c:ser>
        <c:dLbls>
          <c:showLegendKey val="0"/>
          <c:showVal val="0"/>
          <c:showCatName val="0"/>
          <c:showSerName val="0"/>
          <c:showPercent val="0"/>
          <c:showBubbleSize val="0"/>
        </c:dLbls>
        <c:axId val="747866096"/>
        <c:axId val="747866488"/>
      </c:scatterChart>
      <c:valAx>
        <c:axId val="747866096"/>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d</a:t>
                </a:r>
                <a:endParaRPr lang="zh-CN" altLang="en-US"/>
              </a:p>
            </c:rich>
          </c:tx>
          <c:layout>
            <c:manualLayout>
              <c:xMode val="edge"/>
              <c:yMode val="edge"/>
              <c:x val="0.5190394862614"/>
              <c:y val="0.860345221553188"/>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47866488"/>
        <c:crosses val="autoZero"/>
        <c:crossBetween val="midCat"/>
      </c:valAx>
      <c:valAx>
        <c:axId val="7478664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ug/ml</a:t>
                </a:r>
                <a:endParaRPr lang="zh-CN" altLang="en-US" sz="1000" b="0" i="0" u="none" strike="noStrike" baseline="0">
                  <a:solidFill>
                    <a:srgbClr val="333333"/>
                  </a:solidFill>
                  <a:latin typeface="Calibri" panose="020F0502020204030204"/>
                  <a:cs typeface="Calibri" panose="020F0502020204030204"/>
                </a:endParaRPr>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47866096"/>
        <c:crosses val="autoZero"/>
        <c:crossBetween val="midCat"/>
      </c:valAx>
      <c:spPr>
        <a:noFill/>
        <a:ln w="25400">
          <a:noFill/>
        </a:ln>
      </c:spPr>
    </c:plotArea>
    <c:legend>
      <c:legendPos val="b"/>
      <c:layout>
        <c:manualLayout>
          <c:xMode val="edge"/>
          <c:yMode val="edge"/>
          <c:x val="0.358819584171697"/>
          <c:y val="0.928417477227111"/>
          <c:w val="0.334674714956405"/>
          <c:h val="0.0656992434769184"/>
        </c:manualLayout>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000"/>
              <a:t>Zn-female</a:t>
            </a:r>
            <a:endParaRPr lang="zh-CN" altLang="en-US" sz="1000"/>
          </a:p>
        </c:rich>
      </c:tx>
      <c:layout/>
      <c:overlay val="0"/>
      <c:spPr>
        <a:noFill/>
        <a:ln w="25400">
          <a:noFill/>
        </a:ln>
      </c:spPr>
    </c:title>
    <c:autoTitleDeleted val="0"/>
    <c:plotArea>
      <c:layout/>
      <c:scatterChart>
        <c:scatterStyle val="smoothMarker"/>
        <c:varyColors val="0"/>
        <c:ser>
          <c:idx val="0"/>
          <c:order val="0"/>
          <c:tx>
            <c:strRef>
              <c:f>Sheet1!$B$48</c:f>
              <c:strCache>
                <c:ptCount val="1"/>
                <c:pt idx="0">
                  <c:v>B</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Sheet1!$A$49:$A$60</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Sheet1!$B$49:$B$60</c:f>
              <c:numCache>
                <c:formatCode>General</c:formatCode>
                <c:ptCount val="12"/>
                <c:pt idx="0">
                  <c:v>0.939</c:v>
                </c:pt>
                <c:pt idx="1">
                  <c:v>0.935</c:v>
                </c:pt>
                <c:pt idx="2">
                  <c:v>0.869</c:v>
                </c:pt>
                <c:pt idx="3">
                  <c:v>0.91</c:v>
                </c:pt>
                <c:pt idx="4">
                  <c:v>0.933</c:v>
                </c:pt>
                <c:pt idx="5">
                  <c:v>0.993</c:v>
                </c:pt>
                <c:pt idx="6">
                  <c:v>1</c:v>
                </c:pt>
                <c:pt idx="7">
                  <c:v>0.95</c:v>
                </c:pt>
                <c:pt idx="8">
                  <c:v>1.117</c:v>
                </c:pt>
                <c:pt idx="9">
                  <c:v>0.928</c:v>
                </c:pt>
                <c:pt idx="10">
                  <c:v>1.019</c:v>
                </c:pt>
                <c:pt idx="11">
                  <c:v>1.251</c:v>
                </c:pt>
              </c:numCache>
            </c:numRef>
          </c:yVal>
          <c:smooth val="1"/>
        </c:ser>
        <c:ser>
          <c:idx val="1"/>
          <c:order val="1"/>
          <c:tx>
            <c:strRef>
              <c:f>Sheet1!$C$48</c:f>
              <c:strCache>
                <c:ptCount val="1"/>
                <c:pt idx="0">
                  <c:v>L</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Sheet1!$A$49:$A$60</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Sheet1!$C$49:$C$60</c:f>
              <c:numCache>
                <c:formatCode>General</c:formatCode>
                <c:ptCount val="12"/>
                <c:pt idx="0">
                  <c:v>1.009</c:v>
                </c:pt>
                <c:pt idx="1">
                  <c:v>0.922</c:v>
                </c:pt>
                <c:pt idx="2">
                  <c:v>1.047</c:v>
                </c:pt>
                <c:pt idx="3">
                  <c:v>1.055</c:v>
                </c:pt>
                <c:pt idx="4">
                  <c:v>1.006</c:v>
                </c:pt>
                <c:pt idx="5">
                  <c:v>1.069</c:v>
                </c:pt>
                <c:pt idx="6">
                  <c:v>1.168</c:v>
                </c:pt>
                <c:pt idx="7">
                  <c:v>1.008</c:v>
                </c:pt>
                <c:pt idx="8">
                  <c:v>1.412</c:v>
                </c:pt>
                <c:pt idx="9">
                  <c:v>1.335</c:v>
                </c:pt>
                <c:pt idx="10">
                  <c:v>1.198</c:v>
                </c:pt>
                <c:pt idx="11">
                  <c:v>1.273</c:v>
                </c:pt>
              </c:numCache>
            </c:numRef>
          </c:yVal>
          <c:smooth val="1"/>
        </c:ser>
        <c:ser>
          <c:idx val="2"/>
          <c:order val="2"/>
          <c:tx>
            <c:strRef>
              <c:f>Sheet1!$D$48</c:f>
              <c:strCache>
                <c:ptCount val="1"/>
                <c:pt idx="0">
                  <c:v>H</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xVal>
            <c:numRef>
              <c:f>Sheet1!$A$49:$A$60</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Sheet1!$D$49:$D$60</c:f>
              <c:numCache>
                <c:formatCode>General</c:formatCode>
                <c:ptCount val="12"/>
                <c:pt idx="0">
                  <c:v>0.954</c:v>
                </c:pt>
                <c:pt idx="1">
                  <c:v>1.031</c:v>
                </c:pt>
                <c:pt idx="2">
                  <c:v>1.13</c:v>
                </c:pt>
                <c:pt idx="3">
                  <c:v>0.982</c:v>
                </c:pt>
                <c:pt idx="4">
                  <c:v>0.971</c:v>
                </c:pt>
                <c:pt idx="5">
                  <c:v>1.096</c:v>
                </c:pt>
                <c:pt idx="6">
                  <c:v>1.018</c:v>
                </c:pt>
                <c:pt idx="7">
                  <c:v>1.068</c:v>
                </c:pt>
                <c:pt idx="8">
                  <c:v>1.198</c:v>
                </c:pt>
                <c:pt idx="9">
                  <c:v>1.16</c:v>
                </c:pt>
                <c:pt idx="10">
                  <c:v>1.109</c:v>
                </c:pt>
                <c:pt idx="11">
                  <c:v>1.295</c:v>
                </c:pt>
              </c:numCache>
            </c:numRef>
          </c:yVal>
          <c:smooth val="1"/>
        </c:ser>
        <c:ser>
          <c:idx val="3"/>
          <c:order val="3"/>
          <c:tx>
            <c:strRef>
              <c:f>Sheet1!$E$48</c:f>
              <c:strCache>
                <c:ptCount val="1"/>
                <c:pt idx="0">
                  <c:v>BS</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xVal>
            <c:numRef>
              <c:f>Sheet1!$A$49:$A$60</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Sheet1!$E$49:$E$60</c:f>
              <c:numCache>
                <c:formatCode>General</c:formatCode>
                <c:ptCount val="12"/>
                <c:pt idx="0">
                  <c:v>1.033</c:v>
                </c:pt>
                <c:pt idx="1">
                  <c:v>0.915</c:v>
                </c:pt>
                <c:pt idx="2">
                  <c:v>1.013</c:v>
                </c:pt>
                <c:pt idx="3">
                  <c:v>1.108</c:v>
                </c:pt>
                <c:pt idx="4">
                  <c:v>1.02</c:v>
                </c:pt>
                <c:pt idx="5">
                  <c:v>1.109</c:v>
                </c:pt>
                <c:pt idx="6">
                  <c:v>1.091</c:v>
                </c:pt>
                <c:pt idx="7">
                  <c:v>0.96</c:v>
                </c:pt>
                <c:pt idx="8">
                  <c:v>1.089</c:v>
                </c:pt>
                <c:pt idx="9">
                  <c:v>1.031</c:v>
                </c:pt>
                <c:pt idx="10">
                  <c:v>1.041</c:v>
                </c:pt>
                <c:pt idx="11">
                  <c:v>0.956</c:v>
                </c:pt>
              </c:numCache>
            </c:numRef>
          </c:yVal>
          <c:smooth val="1"/>
        </c:ser>
        <c:dLbls>
          <c:showLegendKey val="0"/>
          <c:showVal val="0"/>
          <c:showCatName val="0"/>
          <c:showSerName val="0"/>
          <c:showPercent val="0"/>
          <c:showBubbleSize val="0"/>
        </c:dLbls>
        <c:axId val="752645688"/>
        <c:axId val="752646080"/>
      </c:scatterChart>
      <c:valAx>
        <c:axId val="75264568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d</a:t>
                </a:r>
                <a:endParaRPr lang="zh-CN" altLang="en-US"/>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52646080"/>
        <c:crosses val="autoZero"/>
        <c:crossBetween val="midCat"/>
      </c:valAx>
      <c:valAx>
        <c:axId val="7526460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ug/ml</a:t>
                </a:r>
                <a:endParaRPr lang="zh-CN" altLang="en-US" sz="1000" b="0" i="0" u="none" strike="noStrike" baseline="0">
                  <a:solidFill>
                    <a:srgbClr val="333333"/>
                  </a:solidFill>
                  <a:latin typeface="Calibri" panose="020F0502020204030204"/>
                  <a:cs typeface="Calibri" panose="020F0502020204030204"/>
                </a:endParaRPr>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52645688"/>
        <c:crosses val="autoZero"/>
        <c:crossBetween val="midCat"/>
      </c:valAx>
      <c:spPr>
        <a:noFill/>
        <a:ln w="25400">
          <a:noFill/>
        </a:ln>
      </c:spPr>
    </c:plotArea>
    <c:legend>
      <c:legendPos val="b"/>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000"/>
              <a:t>Zn-male</a:t>
            </a:r>
            <a:endParaRPr lang="zh-CN" altLang="en-US" sz="1000"/>
          </a:p>
        </c:rich>
      </c:tx>
      <c:layout/>
      <c:overlay val="0"/>
      <c:spPr>
        <a:noFill/>
        <a:ln w="25400">
          <a:noFill/>
        </a:ln>
      </c:spPr>
    </c:title>
    <c:autoTitleDeleted val="0"/>
    <c:plotArea>
      <c:layout>
        <c:manualLayout>
          <c:layoutTarget val="inner"/>
          <c:xMode val="edge"/>
          <c:yMode val="edge"/>
          <c:x val="0.128488251717539"/>
          <c:y val="0.15"/>
          <c:w val="0.813742823979672"/>
          <c:h val="0.577175853018373"/>
        </c:manualLayout>
      </c:layout>
      <c:scatterChart>
        <c:scatterStyle val="smoothMarker"/>
        <c:varyColors val="0"/>
        <c:ser>
          <c:idx val="0"/>
          <c:order val="0"/>
          <c:tx>
            <c:strRef>
              <c:f>Sheet1!$B$71</c:f>
              <c:strCache>
                <c:ptCount val="1"/>
                <c:pt idx="0">
                  <c:v>B</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Sheet1!$A$72:$A$83</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Sheet1!$B$72:$B$83</c:f>
              <c:numCache>
                <c:formatCode>General</c:formatCode>
                <c:ptCount val="12"/>
                <c:pt idx="0">
                  <c:v>0.968</c:v>
                </c:pt>
                <c:pt idx="1">
                  <c:v>0.945</c:v>
                </c:pt>
                <c:pt idx="2">
                  <c:v>1.019</c:v>
                </c:pt>
                <c:pt idx="3">
                  <c:v>1.159</c:v>
                </c:pt>
                <c:pt idx="4">
                  <c:v>1.027</c:v>
                </c:pt>
                <c:pt idx="5">
                  <c:v>1.129</c:v>
                </c:pt>
                <c:pt idx="6">
                  <c:v>1.106</c:v>
                </c:pt>
                <c:pt idx="7">
                  <c:v>1.053</c:v>
                </c:pt>
                <c:pt idx="8">
                  <c:v>1.114</c:v>
                </c:pt>
                <c:pt idx="9">
                  <c:v>0.825</c:v>
                </c:pt>
                <c:pt idx="10">
                  <c:v>1.035</c:v>
                </c:pt>
                <c:pt idx="11">
                  <c:v>1.113</c:v>
                </c:pt>
              </c:numCache>
            </c:numRef>
          </c:yVal>
          <c:smooth val="1"/>
        </c:ser>
        <c:ser>
          <c:idx val="1"/>
          <c:order val="1"/>
          <c:tx>
            <c:strRef>
              <c:f>Sheet1!$C$71</c:f>
              <c:strCache>
                <c:ptCount val="1"/>
                <c:pt idx="0">
                  <c:v>L</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Sheet1!$A$72:$A$83</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Sheet1!$C$72:$C$83</c:f>
              <c:numCache>
                <c:formatCode>General</c:formatCode>
                <c:ptCount val="12"/>
                <c:pt idx="0">
                  <c:v>0.848</c:v>
                </c:pt>
                <c:pt idx="1">
                  <c:v>0.792</c:v>
                </c:pt>
                <c:pt idx="2">
                  <c:v>0.988</c:v>
                </c:pt>
                <c:pt idx="3">
                  <c:v>0.996</c:v>
                </c:pt>
                <c:pt idx="4">
                  <c:v>0.922</c:v>
                </c:pt>
                <c:pt idx="5">
                  <c:v>1.01</c:v>
                </c:pt>
                <c:pt idx="6">
                  <c:v>1.007</c:v>
                </c:pt>
                <c:pt idx="7">
                  <c:v>1.041</c:v>
                </c:pt>
                <c:pt idx="8">
                  <c:v>1.102</c:v>
                </c:pt>
                <c:pt idx="9">
                  <c:v>1.034</c:v>
                </c:pt>
                <c:pt idx="10">
                  <c:v>1.07</c:v>
                </c:pt>
                <c:pt idx="11">
                  <c:v>1.305</c:v>
                </c:pt>
              </c:numCache>
            </c:numRef>
          </c:yVal>
          <c:smooth val="1"/>
        </c:ser>
        <c:ser>
          <c:idx val="2"/>
          <c:order val="2"/>
          <c:tx>
            <c:strRef>
              <c:f>Sheet1!$D$71</c:f>
              <c:strCache>
                <c:ptCount val="1"/>
                <c:pt idx="0">
                  <c:v>H</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xVal>
            <c:numRef>
              <c:f>Sheet1!$A$72:$A$83</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Sheet1!$D$72:$D$83</c:f>
              <c:numCache>
                <c:formatCode>General</c:formatCode>
                <c:ptCount val="12"/>
                <c:pt idx="0">
                  <c:v>1.311</c:v>
                </c:pt>
                <c:pt idx="1">
                  <c:v>0.998</c:v>
                </c:pt>
                <c:pt idx="2">
                  <c:v>0.998</c:v>
                </c:pt>
                <c:pt idx="3">
                  <c:v>1.04</c:v>
                </c:pt>
                <c:pt idx="4">
                  <c:v>1.182</c:v>
                </c:pt>
                <c:pt idx="5">
                  <c:v>1.235</c:v>
                </c:pt>
                <c:pt idx="6">
                  <c:v>1.225</c:v>
                </c:pt>
                <c:pt idx="7">
                  <c:v>1.304</c:v>
                </c:pt>
                <c:pt idx="8">
                  <c:v>1.236</c:v>
                </c:pt>
                <c:pt idx="9">
                  <c:v>1.122</c:v>
                </c:pt>
                <c:pt idx="10">
                  <c:v>1.106</c:v>
                </c:pt>
                <c:pt idx="11">
                  <c:v>0.98</c:v>
                </c:pt>
              </c:numCache>
            </c:numRef>
          </c:yVal>
          <c:smooth val="1"/>
        </c:ser>
        <c:ser>
          <c:idx val="3"/>
          <c:order val="3"/>
          <c:tx>
            <c:strRef>
              <c:f>Sheet1!$E$71</c:f>
              <c:strCache>
                <c:ptCount val="1"/>
                <c:pt idx="0">
                  <c:v>BS</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xVal>
            <c:numRef>
              <c:f>Sheet1!$A$72:$A$83</c:f>
              <c:numCache>
                <c:formatCode>General</c:formatCode>
                <c:ptCount val="12"/>
                <c:pt idx="0">
                  <c:v>1</c:v>
                </c:pt>
                <c:pt idx="1">
                  <c:v>7</c:v>
                </c:pt>
                <c:pt idx="2">
                  <c:v>17</c:v>
                </c:pt>
                <c:pt idx="3">
                  <c:v>31</c:v>
                </c:pt>
                <c:pt idx="4">
                  <c:v>59</c:v>
                </c:pt>
                <c:pt idx="5">
                  <c:v>94</c:v>
                </c:pt>
                <c:pt idx="6">
                  <c:v>122</c:v>
                </c:pt>
                <c:pt idx="7">
                  <c:v>150</c:v>
                </c:pt>
                <c:pt idx="8">
                  <c:v>185</c:v>
                </c:pt>
                <c:pt idx="9">
                  <c:v>211</c:v>
                </c:pt>
                <c:pt idx="10">
                  <c:v>241</c:v>
                </c:pt>
                <c:pt idx="11">
                  <c:v>276</c:v>
                </c:pt>
              </c:numCache>
            </c:numRef>
          </c:xVal>
          <c:yVal>
            <c:numRef>
              <c:f>Sheet1!$E$72:$E$83</c:f>
              <c:numCache>
                <c:formatCode>General</c:formatCode>
                <c:ptCount val="12"/>
                <c:pt idx="0">
                  <c:v>1.079</c:v>
                </c:pt>
                <c:pt idx="1">
                  <c:v>0.95</c:v>
                </c:pt>
                <c:pt idx="2">
                  <c:v>1.038</c:v>
                </c:pt>
                <c:pt idx="3">
                  <c:v>1.078</c:v>
                </c:pt>
                <c:pt idx="4">
                  <c:v>0.994</c:v>
                </c:pt>
                <c:pt idx="5">
                  <c:v>1.157</c:v>
                </c:pt>
                <c:pt idx="6">
                  <c:v>0.997</c:v>
                </c:pt>
                <c:pt idx="7">
                  <c:v>1.01</c:v>
                </c:pt>
                <c:pt idx="8">
                  <c:v>1.04</c:v>
                </c:pt>
                <c:pt idx="9">
                  <c:v>1</c:v>
                </c:pt>
                <c:pt idx="10">
                  <c:v>1.091</c:v>
                </c:pt>
                <c:pt idx="11">
                  <c:v>1.129</c:v>
                </c:pt>
              </c:numCache>
            </c:numRef>
          </c:yVal>
          <c:smooth val="1"/>
        </c:ser>
        <c:dLbls>
          <c:showLegendKey val="0"/>
          <c:showVal val="0"/>
          <c:showCatName val="0"/>
          <c:showSerName val="0"/>
          <c:showPercent val="0"/>
          <c:showBubbleSize val="0"/>
        </c:dLbls>
        <c:axId val="752646864"/>
        <c:axId val="752647256"/>
      </c:scatterChart>
      <c:valAx>
        <c:axId val="752646864"/>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d</a:t>
                </a:r>
                <a:endParaRPr lang="zh-CN" altLang="en-US" sz="1000" b="0" i="0" u="none" strike="noStrike" baseline="0">
                  <a:solidFill>
                    <a:srgbClr val="333333"/>
                  </a:solidFill>
                  <a:latin typeface="Calibri" panose="020F0502020204030204"/>
                  <a:cs typeface="Calibri" panose="020F0502020204030204"/>
                </a:endParaRPr>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52647256"/>
        <c:crosses val="autoZero"/>
        <c:crossBetween val="midCat"/>
      </c:valAx>
      <c:valAx>
        <c:axId val="75264725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Calibri" panose="020F0502020204030204"/>
                    <a:ea typeface="宋体" panose="02010600030101010101" charset="-122"/>
                    <a:cs typeface="Calibri" panose="020F0502020204030204"/>
                  </a:rPr>
                  <a:t>ug/ml</a:t>
                </a:r>
                <a:endParaRPr lang="zh-CN" altLang="en-US" sz="1000" b="0" i="0" u="none" strike="noStrike" baseline="0">
                  <a:solidFill>
                    <a:srgbClr val="333333"/>
                  </a:solidFill>
                  <a:latin typeface="Calibri" panose="020F0502020204030204"/>
                  <a:cs typeface="Calibri" panose="020F0502020204030204"/>
                </a:endParaRPr>
              </a:p>
            </c:rich>
          </c:tx>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52646864"/>
        <c:crosses val="autoZero"/>
        <c:crossBetween val="midCat"/>
      </c:valAx>
      <c:spPr>
        <a:noFill/>
        <a:ln w="25400">
          <a:noFill/>
        </a:ln>
      </c:spPr>
    </c:plotArea>
    <c:legend>
      <c:legendPos val="b"/>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1078</Words>
  <Characters>6145</Characters>
  <Lines>51</Lines>
  <Paragraphs>14</Paragraphs>
  <TotalTime>2</TotalTime>
  <ScaleCrop>false</ScaleCrop>
  <LinksUpToDate>false</LinksUpToDate>
  <CharactersWithSpaces>7209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2020-03-27T08:58:00Z</dcterms:created>
  <dc:creator>万子义</dc:creator>
  <cp:lastModifiedBy>雨红</cp:lastModifiedBy>
  <dcterms:modified xsi:type="dcterms:W3CDTF">2022-04-24T06:30:01Z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D09E4981258247FDAF398EB8BCCCCB67</vt:lpwstr>
  </property>
</Properties>
</file>